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00" w:lineRule="exact"/>
        <w:jc w:val="center"/>
        <w:rPr>
          <w:rFonts w:hint="eastAsia" w:ascii="方正小标宋简体" w:hAnsi="方正小标宋简体" w:eastAsia="方正小标宋简体" w:cs="方正小标宋简体"/>
          <w:bCs/>
          <w:kern w:val="0"/>
          <w:sz w:val="36"/>
          <w:szCs w:val="36"/>
        </w:rPr>
      </w:pPr>
      <w:r>
        <w:rPr>
          <w:rFonts w:hint="eastAsia" w:ascii="方正小标宋简体" w:hAnsi="方正小标宋简体" w:eastAsia="方正小标宋简体" w:cs="方正小标宋简体"/>
          <w:bCs/>
          <w:kern w:val="0"/>
          <w:sz w:val="36"/>
          <w:szCs w:val="36"/>
        </w:rPr>
        <w:t>浙江机电职业技术学院继续教育学院萧山教学站</w:t>
      </w:r>
    </w:p>
    <w:p>
      <w:pPr>
        <w:widowControl/>
        <w:spacing w:line="500" w:lineRule="exact"/>
        <w:jc w:val="center"/>
        <w:rPr>
          <w:rFonts w:hint="eastAsia" w:ascii="方正小标宋简体" w:hAnsi="方正小标宋简体" w:eastAsia="方正小标宋简体" w:cs="方正小标宋简体"/>
          <w:bCs/>
          <w:kern w:val="0"/>
          <w:sz w:val="36"/>
          <w:szCs w:val="36"/>
        </w:rPr>
      </w:pPr>
      <w:r>
        <w:rPr>
          <w:rFonts w:hint="eastAsia" w:ascii="方正小标宋简体" w:hAnsi="方正小标宋简体" w:eastAsia="方正小标宋简体" w:cs="方正小标宋简体"/>
          <w:bCs/>
          <w:kern w:val="0"/>
          <w:sz w:val="36"/>
          <w:szCs w:val="36"/>
        </w:rPr>
        <w:t>（杭州萧山技师学院）2022年专业设置及培养方向</w:t>
      </w:r>
    </w:p>
    <w:tbl>
      <w:tblPr>
        <w:tblStyle w:val="2"/>
        <w:tblpPr w:leftFromText="180" w:rightFromText="180" w:vertAnchor="text" w:horzAnchor="page" w:tblpX="1713" w:tblpY="117"/>
        <w:tblOverlap w:val="never"/>
        <w:tblW w:w="8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2235"/>
        <w:gridCol w:w="5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37" w:type="dxa"/>
            <w:noWrap w:val="0"/>
            <w:vAlign w:val="center"/>
          </w:tcPr>
          <w:p>
            <w:pPr>
              <w:widowControl/>
              <w:autoSpaceDE w:val="0"/>
              <w:autoSpaceDN w:val="0"/>
              <w:adjustRightInd w:val="0"/>
              <w:spacing w:line="400" w:lineRule="exact"/>
              <w:rPr>
                <w:rFonts w:hint="eastAsia" w:ascii="仿宋_GB2312" w:hAnsi="宋体" w:eastAsia="仿宋_GB2312" w:cs="宋体"/>
                <w:b/>
                <w:bCs/>
                <w:color w:val="000000"/>
                <w:sz w:val="28"/>
                <w:szCs w:val="28"/>
              </w:rPr>
            </w:pPr>
            <w:r>
              <w:rPr>
                <w:rFonts w:hint="eastAsia" w:ascii="仿宋_GB2312" w:hAnsi="宋体" w:eastAsia="仿宋_GB2312" w:cs="宋体"/>
                <w:b/>
                <w:bCs/>
                <w:color w:val="000000"/>
                <w:sz w:val="28"/>
                <w:szCs w:val="28"/>
              </w:rPr>
              <w:t>学校</w:t>
            </w:r>
          </w:p>
        </w:tc>
        <w:tc>
          <w:tcPr>
            <w:tcW w:w="2235" w:type="dxa"/>
            <w:noWrap w:val="0"/>
            <w:vAlign w:val="center"/>
          </w:tcPr>
          <w:p>
            <w:pPr>
              <w:widowControl/>
              <w:autoSpaceDE w:val="0"/>
              <w:autoSpaceDN w:val="0"/>
              <w:adjustRightInd w:val="0"/>
              <w:spacing w:line="400" w:lineRule="exact"/>
              <w:jc w:val="center"/>
              <w:rPr>
                <w:rFonts w:hint="eastAsia" w:ascii="仿宋_GB2312" w:hAnsi="宋体" w:eastAsia="仿宋_GB2312" w:cs="宋体"/>
                <w:b/>
                <w:bCs/>
                <w:color w:val="000000"/>
                <w:sz w:val="28"/>
                <w:szCs w:val="28"/>
              </w:rPr>
            </w:pPr>
            <w:r>
              <w:rPr>
                <w:rFonts w:hint="eastAsia" w:ascii="仿宋_GB2312" w:hAnsi="宋体" w:eastAsia="仿宋_GB2312" w:cs="宋体"/>
                <w:b/>
                <w:bCs/>
                <w:color w:val="000000"/>
                <w:sz w:val="28"/>
                <w:szCs w:val="28"/>
              </w:rPr>
              <w:t>专业设置</w:t>
            </w:r>
          </w:p>
        </w:tc>
        <w:tc>
          <w:tcPr>
            <w:tcW w:w="5625" w:type="dxa"/>
            <w:noWrap w:val="0"/>
            <w:vAlign w:val="center"/>
          </w:tcPr>
          <w:p>
            <w:pPr>
              <w:widowControl/>
              <w:autoSpaceDE w:val="0"/>
              <w:autoSpaceDN w:val="0"/>
              <w:adjustRightInd w:val="0"/>
              <w:spacing w:line="400" w:lineRule="exact"/>
              <w:jc w:val="center"/>
              <w:rPr>
                <w:rFonts w:hint="eastAsia" w:ascii="仿宋_GB2312" w:hAnsi="宋体" w:eastAsia="仿宋_GB2312" w:cs="宋体"/>
                <w:b/>
                <w:bCs/>
                <w:color w:val="000000"/>
                <w:sz w:val="28"/>
                <w:szCs w:val="28"/>
              </w:rPr>
            </w:pPr>
            <w:r>
              <w:rPr>
                <w:rFonts w:hint="eastAsia" w:ascii="仿宋_GB2312" w:hAnsi="宋体" w:eastAsia="仿宋_GB2312" w:cs="宋体"/>
                <w:b/>
                <w:bCs/>
                <w:color w:val="000000"/>
                <w:sz w:val="28"/>
                <w:szCs w:val="28"/>
              </w:rPr>
              <w:t>培养方向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7" w:hRule="exact"/>
        </w:trPr>
        <w:tc>
          <w:tcPr>
            <w:tcW w:w="837" w:type="dxa"/>
            <w:vMerge w:val="restart"/>
            <w:noWrap w:val="0"/>
            <w:textDirection w:val="tbRlV"/>
            <w:vAlign w:val="center"/>
          </w:tcPr>
          <w:p>
            <w:pPr>
              <w:widowControl/>
              <w:autoSpaceDE w:val="0"/>
              <w:autoSpaceDN w:val="0"/>
              <w:adjustRightInd w:val="0"/>
              <w:spacing w:line="400" w:lineRule="exact"/>
              <w:jc w:val="center"/>
              <w:rPr>
                <w:rFonts w:hint="eastAsia" w:ascii="仿宋_GB2312" w:hAnsi="宋体" w:eastAsia="仿宋_GB2312" w:cs="宋体"/>
                <w:b/>
                <w:bCs/>
                <w:color w:val="000000"/>
                <w:sz w:val="28"/>
                <w:szCs w:val="28"/>
              </w:rPr>
            </w:pPr>
            <w:r>
              <w:rPr>
                <w:rFonts w:hint="eastAsia" w:ascii="仿宋_GB2312" w:hAnsi="宋体" w:eastAsia="仿宋_GB2312" w:cs="宋体"/>
                <w:b/>
                <w:bCs/>
                <w:color w:val="000000"/>
                <w:sz w:val="28"/>
                <w:szCs w:val="28"/>
              </w:rPr>
              <w:t>浙江机电职业技术学院</w:t>
            </w:r>
          </w:p>
        </w:tc>
        <w:tc>
          <w:tcPr>
            <w:tcW w:w="2235" w:type="dxa"/>
            <w:noWrap w:val="0"/>
            <w:vAlign w:val="center"/>
          </w:tcPr>
          <w:p>
            <w:pPr>
              <w:widowControl/>
              <w:autoSpaceDE w:val="0"/>
              <w:autoSpaceDN w:val="0"/>
              <w:adjustRightInd w:val="0"/>
              <w:spacing w:line="400" w:lineRule="exact"/>
              <w:jc w:val="center"/>
              <w:rPr>
                <w:rFonts w:hint="eastAsia" w:ascii="仿宋_GB2312" w:hAnsi="宋体" w:eastAsia="仿宋_GB2312" w:cs="宋体"/>
                <w:color w:val="000000"/>
              </w:rPr>
            </w:pPr>
            <w:r>
              <w:rPr>
                <w:rFonts w:hint="eastAsia" w:ascii="仿宋_GB2312" w:hAnsi="宋体" w:eastAsia="仿宋_GB2312" w:cs="宋体"/>
                <w:color w:val="000000"/>
              </w:rPr>
              <w:t>数控技术</w:t>
            </w:r>
          </w:p>
        </w:tc>
        <w:tc>
          <w:tcPr>
            <w:tcW w:w="5625" w:type="dxa"/>
            <w:noWrap w:val="0"/>
            <w:vAlign w:val="center"/>
          </w:tcPr>
          <w:p>
            <w:pPr>
              <w:widowControl/>
              <w:autoSpaceDE w:val="0"/>
              <w:autoSpaceDN w:val="0"/>
              <w:adjustRightInd w:val="0"/>
              <w:spacing w:line="400" w:lineRule="exact"/>
              <w:rPr>
                <w:rFonts w:hint="eastAsia" w:ascii="仿宋_GB2312" w:hAnsi="宋体" w:eastAsia="仿宋_GB2312" w:cs="宋体"/>
                <w:color w:val="000000"/>
              </w:rPr>
            </w:pPr>
            <w:r>
              <w:rPr>
                <w:rFonts w:hint="eastAsia" w:ascii="仿宋_GB2312" w:hAnsi="宋体" w:eastAsia="仿宋_GB2312" w:cs="宋体"/>
                <w:color w:val="000000"/>
              </w:rPr>
              <w:t>培养</w:t>
            </w:r>
            <w:r>
              <w:rPr>
                <w:rFonts w:ascii="仿宋_GB2312" w:hAnsi="宋体" w:eastAsia="仿宋_GB2312" w:cs="宋体"/>
                <w:color w:val="000000"/>
              </w:rPr>
              <w:t>掌握数控原理、数控编程和数控加工等</w:t>
            </w:r>
            <w:r>
              <w:rPr>
                <w:rFonts w:hint="eastAsia" w:ascii="仿宋_GB2312" w:hAnsi="宋体" w:eastAsia="仿宋_GB2312" w:cs="宋体"/>
                <w:color w:val="000000"/>
              </w:rPr>
              <w:t>理论</w:t>
            </w:r>
            <w:r>
              <w:rPr>
                <w:rFonts w:ascii="仿宋_GB2312" w:hAnsi="宋体" w:eastAsia="仿宋_GB2312" w:cs="宋体"/>
                <w:color w:val="000000"/>
              </w:rPr>
              <w:t>及</w:t>
            </w:r>
            <w:r>
              <w:rPr>
                <w:rFonts w:hint="eastAsia" w:ascii="仿宋_GB2312" w:hAnsi="宋体" w:eastAsia="仿宋_GB2312" w:cs="宋体"/>
                <w:color w:val="000000"/>
              </w:rPr>
              <w:t>应用能力</w:t>
            </w:r>
            <w:r>
              <w:rPr>
                <w:rFonts w:ascii="仿宋_GB2312" w:hAnsi="宋体" w:eastAsia="仿宋_GB2312" w:cs="宋体"/>
                <w:color w:val="000000"/>
              </w:rPr>
              <w:t>的</w:t>
            </w:r>
            <w:r>
              <w:rPr>
                <w:rFonts w:hint="eastAsia" w:ascii="仿宋_GB2312" w:hAnsi="宋体" w:eastAsia="仿宋_GB2312" w:cs="宋体"/>
                <w:color w:val="000000"/>
              </w:rPr>
              <w:t>高等技术应用型人才</w:t>
            </w:r>
            <w:r>
              <w:rPr>
                <w:rFonts w:ascii="仿宋_GB2312" w:hAnsi="宋体" w:eastAsia="仿宋_GB2312"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exact"/>
        </w:trPr>
        <w:tc>
          <w:tcPr>
            <w:tcW w:w="837" w:type="dxa"/>
            <w:vMerge w:val="continue"/>
            <w:noWrap w:val="0"/>
            <w:vAlign w:val="center"/>
          </w:tcPr>
          <w:p>
            <w:pPr>
              <w:widowControl/>
              <w:spacing w:line="300" w:lineRule="exact"/>
              <w:jc w:val="left"/>
              <w:rPr>
                <w:rFonts w:hint="eastAsia" w:ascii="宋体" w:hAnsi="宋体" w:cs="宋体"/>
                <w:kern w:val="0"/>
                <w:sz w:val="21"/>
                <w:szCs w:val="21"/>
              </w:rPr>
            </w:pPr>
          </w:p>
        </w:tc>
        <w:tc>
          <w:tcPr>
            <w:tcW w:w="2235" w:type="dxa"/>
            <w:noWrap w:val="0"/>
            <w:vAlign w:val="center"/>
          </w:tcPr>
          <w:p>
            <w:pPr>
              <w:widowControl/>
              <w:autoSpaceDE w:val="0"/>
              <w:autoSpaceDN w:val="0"/>
              <w:adjustRightInd w:val="0"/>
              <w:spacing w:line="400" w:lineRule="exact"/>
              <w:jc w:val="center"/>
              <w:rPr>
                <w:rFonts w:hint="eastAsia" w:ascii="仿宋_GB2312" w:hAnsi="宋体" w:eastAsia="仿宋_GB2312" w:cs="宋体"/>
                <w:color w:val="000000"/>
              </w:rPr>
            </w:pPr>
            <w:r>
              <w:rPr>
                <w:rFonts w:hint="eastAsia" w:ascii="仿宋_GB2312" w:hAnsi="宋体" w:eastAsia="仿宋_GB2312" w:cs="宋体"/>
                <w:color w:val="000000"/>
              </w:rPr>
              <w:t>机械制造与自动化</w:t>
            </w:r>
          </w:p>
        </w:tc>
        <w:tc>
          <w:tcPr>
            <w:tcW w:w="5625" w:type="dxa"/>
            <w:noWrap w:val="0"/>
            <w:vAlign w:val="center"/>
          </w:tcPr>
          <w:p>
            <w:pPr>
              <w:widowControl/>
              <w:autoSpaceDE w:val="0"/>
              <w:autoSpaceDN w:val="0"/>
              <w:adjustRightInd w:val="0"/>
              <w:spacing w:line="400" w:lineRule="exact"/>
              <w:rPr>
                <w:rFonts w:hint="eastAsia" w:ascii="仿宋_GB2312" w:hAnsi="宋体" w:eastAsia="仿宋_GB2312" w:cs="宋体"/>
                <w:color w:val="000000"/>
              </w:rPr>
            </w:pPr>
            <w:r>
              <w:rPr>
                <w:rFonts w:hint="eastAsia" w:ascii="仿宋_GB2312" w:hAnsi="宋体" w:eastAsia="仿宋_GB2312" w:cs="宋体"/>
                <w:color w:val="000000"/>
              </w:rPr>
              <w:t>培养掌握</w:t>
            </w:r>
            <w:r>
              <w:rPr>
                <w:rFonts w:ascii="仿宋_GB2312" w:hAnsi="宋体" w:eastAsia="仿宋_GB2312" w:cs="宋体"/>
                <w:color w:val="000000"/>
              </w:rPr>
              <w:t>机械设计、制造、机电工程及自动化</w:t>
            </w:r>
            <w:r>
              <w:rPr>
                <w:rFonts w:hint="eastAsia" w:ascii="仿宋_GB2312" w:hAnsi="宋体" w:eastAsia="仿宋_GB2312" w:cs="宋体"/>
                <w:color w:val="000000"/>
              </w:rPr>
              <w:t>等理论</w:t>
            </w:r>
            <w:r>
              <w:rPr>
                <w:rFonts w:ascii="仿宋_GB2312" w:hAnsi="宋体" w:eastAsia="仿宋_GB2312" w:cs="宋体"/>
                <w:color w:val="000000"/>
              </w:rPr>
              <w:t>与应用能力</w:t>
            </w:r>
            <w:r>
              <w:rPr>
                <w:rFonts w:hint="eastAsia" w:ascii="仿宋_GB2312" w:hAnsi="宋体" w:eastAsia="仿宋_GB2312" w:cs="宋体"/>
                <w:color w:val="000000"/>
              </w:rPr>
              <w:t>的高等技术应用型人才。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exact"/>
        </w:trPr>
        <w:tc>
          <w:tcPr>
            <w:tcW w:w="837" w:type="dxa"/>
            <w:vMerge w:val="continue"/>
            <w:noWrap w:val="0"/>
            <w:vAlign w:val="center"/>
          </w:tcPr>
          <w:p>
            <w:pPr>
              <w:widowControl/>
              <w:spacing w:line="300" w:lineRule="exact"/>
              <w:jc w:val="left"/>
              <w:rPr>
                <w:rFonts w:hint="eastAsia" w:ascii="宋体" w:hAnsi="宋体" w:cs="宋体"/>
                <w:kern w:val="0"/>
                <w:sz w:val="21"/>
                <w:szCs w:val="21"/>
              </w:rPr>
            </w:pPr>
          </w:p>
        </w:tc>
        <w:tc>
          <w:tcPr>
            <w:tcW w:w="2235" w:type="dxa"/>
            <w:noWrap w:val="0"/>
            <w:vAlign w:val="center"/>
          </w:tcPr>
          <w:p>
            <w:pPr>
              <w:widowControl/>
              <w:autoSpaceDE w:val="0"/>
              <w:autoSpaceDN w:val="0"/>
              <w:adjustRightInd w:val="0"/>
              <w:spacing w:line="400" w:lineRule="exact"/>
              <w:jc w:val="center"/>
              <w:rPr>
                <w:rFonts w:hint="eastAsia" w:ascii="仿宋_GB2312" w:hAnsi="宋体" w:eastAsia="仿宋_GB2312" w:cs="宋体"/>
                <w:color w:val="000000"/>
              </w:rPr>
            </w:pPr>
            <w:r>
              <w:rPr>
                <w:rFonts w:hint="eastAsia" w:ascii="仿宋_GB2312" w:hAnsi="宋体" w:eastAsia="仿宋_GB2312" w:cs="宋体"/>
                <w:color w:val="000000"/>
              </w:rPr>
              <w:t>机电一体化技术</w:t>
            </w:r>
          </w:p>
        </w:tc>
        <w:tc>
          <w:tcPr>
            <w:tcW w:w="5625" w:type="dxa"/>
            <w:noWrap w:val="0"/>
            <w:vAlign w:val="center"/>
          </w:tcPr>
          <w:p>
            <w:pPr>
              <w:widowControl/>
              <w:autoSpaceDE w:val="0"/>
              <w:autoSpaceDN w:val="0"/>
              <w:adjustRightInd w:val="0"/>
              <w:spacing w:line="400" w:lineRule="exact"/>
              <w:rPr>
                <w:rFonts w:hint="eastAsia" w:ascii="仿宋_GB2312" w:hAnsi="宋体" w:eastAsia="仿宋_GB2312" w:cs="宋体"/>
                <w:color w:val="000000"/>
              </w:rPr>
            </w:pPr>
            <w:r>
              <w:rPr>
                <w:rFonts w:hint="eastAsia" w:ascii="仿宋_GB2312" w:hAnsi="宋体" w:eastAsia="仿宋_GB2312" w:cs="宋体"/>
                <w:color w:val="000000"/>
              </w:rPr>
              <w:t>培养掌握</w:t>
            </w:r>
            <w:r>
              <w:rPr>
                <w:rFonts w:ascii="仿宋_GB2312" w:hAnsi="宋体" w:eastAsia="仿宋_GB2312" w:cs="宋体"/>
                <w:color w:val="000000"/>
              </w:rPr>
              <w:t>机械、电子、液(气)压一体化技术</w:t>
            </w:r>
            <w:r>
              <w:rPr>
                <w:rFonts w:hint="eastAsia" w:ascii="仿宋_GB2312" w:hAnsi="宋体" w:eastAsia="仿宋_GB2312" w:cs="宋体"/>
                <w:color w:val="000000"/>
              </w:rPr>
              <w:t>等理论与</w:t>
            </w:r>
            <w:r>
              <w:rPr>
                <w:rFonts w:ascii="仿宋_GB2312" w:hAnsi="宋体" w:eastAsia="仿宋_GB2312" w:cs="宋体"/>
                <w:color w:val="000000"/>
              </w:rPr>
              <w:t>应用</w:t>
            </w:r>
            <w:r>
              <w:rPr>
                <w:rFonts w:hint="eastAsia" w:ascii="仿宋_GB2312" w:hAnsi="宋体" w:eastAsia="仿宋_GB2312" w:cs="宋体"/>
                <w:color w:val="000000"/>
              </w:rPr>
              <w:t>能力的高等技术应用型人才。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 w:hRule="exact"/>
        </w:trPr>
        <w:tc>
          <w:tcPr>
            <w:tcW w:w="837" w:type="dxa"/>
            <w:vMerge w:val="continue"/>
            <w:noWrap w:val="0"/>
            <w:vAlign w:val="center"/>
          </w:tcPr>
          <w:p>
            <w:pPr>
              <w:widowControl/>
              <w:spacing w:line="300" w:lineRule="exact"/>
              <w:jc w:val="left"/>
              <w:rPr>
                <w:rFonts w:hint="eastAsia" w:ascii="宋体" w:hAnsi="宋体" w:cs="宋体"/>
                <w:kern w:val="0"/>
                <w:sz w:val="21"/>
                <w:szCs w:val="21"/>
              </w:rPr>
            </w:pPr>
          </w:p>
        </w:tc>
        <w:tc>
          <w:tcPr>
            <w:tcW w:w="2235" w:type="dxa"/>
            <w:noWrap w:val="0"/>
            <w:vAlign w:val="center"/>
          </w:tcPr>
          <w:p>
            <w:pPr>
              <w:widowControl/>
              <w:autoSpaceDE w:val="0"/>
              <w:autoSpaceDN w:val="0"/>
              <w:adjustRightInd w:val="0"/>
              <w:spacing w:line="400" w:lineRule="exact"/>
              <w:jc w:val="center"/>
              <w:rPr>
                <w:rFonts w:hint="eastAsia" w:ascii="仿宋_GB2312" w:hAnsi="宋体" w:eastAsia="仿宋_GB2312" w:cs="宋体"/>
                <w:color w:val="000000"/>
              </w:rPr>
            </w:pPr>
            <w:r>
              <w:rPr>
                <w:rFonts w:hint="eastAsia" w:ascii="仿宋_GB2312" w:hAnsi="宋体" w:eastAsia="仿宋_GB2312" w:cs="宋体"/>
                <w:color w:val="000000"/>
              </w:rPr>
              <w:t>电气自动化技术</w:t>
            </w:r>
          </w:p>
        </w:tc>
        <w:tc>
          <w:tcPr>
            <w:tcW w:w="5625" w:type="dxa"/>
            <w:noWrap w:val="0"/>
            <w:vAlign w:val="center"/>
          </w:tcPr>
          <w:p>
            <w:pPr>
              <w:widowControl/>
              <w:autoSpaceDE w:val="0"/>
              <w:autoSpaceDN w:val="0"/>
              <w:adjustRightInd w:val="0"/>
              <w:spacing w:line="400" w:lineRule="exact"/>
              <w:rPr>
                <w:rFonts w:hint="eastAsia" w:ascii="仿宋_GB2312" w:hAnsi="宋体" w:eastAsia="仿宋_GB2312" w:cs="宋体"/>
                <w:color w:val="000000"/>
              </w:rPr>
            </w:pPr>
            <w:r>
              <w:rPr>
                <w:rFonts w:hint="eastAsia" w:ascii="仿宋_GB2312" w:hAnsi="宋体" w:eastAsia="仿宋_GB2312" w:cs="宋体"/>
                <w:color w:val="000000"/>
              </w:rPr>
              <w:t>培养掌握电路理论、电子技术、自动控制等理论及应用能力的高等技术应用型人才。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8" w:hRule="exact"/>
        </w:trPr>
        <w:tc>
          <w:tcPr>
            <w:tcW w:w="837" w:type="dxa"/>
            <w:vMerge w:val="continue"/>
            <w:noWrap w:val="0"/>
            <w:vAlign w:val="center"/>
          </w:tcPr>
          <w:p>
            <w:pPr>
              <w:widowControl/>
              <w:spacing w:line="300" w:lineRule="exact"/>
              <w:jc w:val="left"/>
              <w:rPr>
                <w:rFonts w:hint="eastAsia" w:ascii="宋体" w:hAnsi="宋体" w:cs="宋体"/>
                <w:kern w:val="0"/>
                <w:sz w:val="21"/>
                <w:szCs w:val="21"/>
              </w:rPr>
            </w:pPr>
          </w:p>
        </w:tc>
        <w:tc>
          <w:tcPr>
            <w:tcW w:w="2235" w:type="dxa"/>
            <w:noWrap w:val="0"/>
            <w:vAlign w:val="center"/>
          </w:tcPr>
          <w:p>
            <w:pPr>
              <w:widowControl/>
              <w:autoSpaceDE w:val="0"/>
              <w:autoSpaceDN w:val="0"/>
              <w:adjustRightInd w:val="0"/>
              <w:spacing w:line="400" w:lineRule="exact"/>
              <w:jc w:val="center"/>
              <w:rPr>
                <w:rFonts w:hint="eastAsia" w:ascii="仿宋_GB2312" w:hAnsi="宋体" w:eastAsia="仿宋_GB2312" w:cs="宋体"/>
                <w:color w:val="000000"/>
              </w:rPr>
            </w:pPr>
            <w:r>
              <w:rPr>
                <w:rFonts w:hint="eastAsia" w:ascii="仿宋_GB2312" w:hAnsi="宋体" w:eastAsia="仿宋_GB2312" w:cs="宋体"/>
                <w:color w:val="000000"/>
              </w:rPr>
              <w:t>大数据与会计</w:t>
            </w:r>
          </w:p>
        </w:tc>
        <w:tc>
          <w:tcPr>
            <w:tcW w:w="5625" w:type="dxa"/>
            <w:noWrap w:val="0"/>
            <w:vAlign w:val="center"/>
          </w:tcPr>
          <w:p>
            <w:pPr>
              <w:widowControl/>
              <w:autoSpaceDE w:val="0"/>
              <w:autoSpaceDN w:val="0"/>
              <w:adjustRightInd w:val="0"/>
              <w:spacing w:line="400" w:lineRule="exact"/>
              <w:rPr>
                <w:rFonts w:hint="eastAsia" w:ascii="仿宋_GB2312" w:hAnsi="宋体" w:eastAsia="仿宋_GB2312" w:cs="宋体"/>
                <w:color w:val="000000"/>
              </w:rPr>
            </w:pPr>
            <w:r>
              <w:rPr>
                <w:rFonts w:hint="eastAsia" w:ascii="仿宋_GB2312" w:hAnsi="宋体" w:eastAsia="仿宋_GB2312" w:cs="宋体"/>
                <w:color w:val="000000"/>
              </w:rPr>
              <w:t>培养掌握会计财务专业理论知识、大数据分析处理技术及应用能力的高等技术应用型人才。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exact"/>
        </w:trPr>
        <w:tc>
          <w:tcPr>
            <w:tcW w:w="837" w:type="dxa"/>
            <w:vMerge w:val="continue"/>
            <w:noWrap w:val="0"/>
            <w:vAlign w:val="center"/>
          </w:tcPr>
          <w:p>
            <w:pPr>
              <w:widowControl/>
              <w:spacing w:line="300" w:lineRule="exact"/>
              <w:jc w:val="left"/>
              <w:rPr>
                <w:rFonts w:hint="eastAsia" w:ascii="宋体" w:hAnsi="宋体" w:cs="宋体"/>
                <w:kern w:val="0"/>
                <w:sz w:val="21"/>
                <w:szCs w:val="21"/>
              </w:rPr>
            </w:pPr>
          </w:p>
        </w:tc>
        <w:tc>
          <w:tcPr>
            <w:tcW w:w="2235" w:type="dxa"/>
            <w:noWrap w:val="0"/>
            <w:vAlign w:val="center"/>
          </w:tcPr>
          <w:p>
            <w:pPr>
              <w:widowControl/>
              <w:autoSpaceDE w:val="0"/>
              <w:autoSpaceDN w:val="0"/>
              <w:adjustRightInd w:val="0"/>
              <w:spacing w:line="400" w:lineRule="exact"/>
              <w:jc w:val="center"/>
              <w:rPr>
                <w:rFonts w:hint="eastAsia" w:ascii="仿宋_GB2312" w:hAnsi="宋体" w:eastAsia="仿宋_GB2312" w:cs="宋体"/>
                <w:color w:val="000000"/>
              </w:rPr>
            </w:pPr>
            <w:r>
              <w:rPr>
                <w:rFonts w:hint="eastAsia" w:ascii="仿宋_GB2312" w:hAnsi="宋体" w:eastAsia="仿宋_GB2312" w:cs="宋体"/>
                <w:color w:val="000000"/>
              </w:rPr>
              <w:t>工商企业管理</w:t>
            </w:r>
          </w:p>
        </w:tc>
        <w:tc>
          <w:tcPr>
            <w:tcW w:w="5625" w:type="dxa"/>
            <w:noWrap w:val="0"/>
            <w:vAlign w:val="center"/>
          </w:tcPr>
          <w:p>
            <w:pPr>
              <w:widowControl/>
              <w:autoSpaceDE w:val="0"/>
              <w:autoSpaceDN w:val="0"/>
              <w:adjustRightInd w:val="0"/>
              <w:spacing w:line="400" w:lineRule="exact"/>
              <w:rPr>
                <w:rFonts w:hint="eastAsia" w:ascii="仿宋_GB2312" w:hAnsi="宋体" w:eastAsia="仿宋_GB2312" w:cs="宋体"/>
                <w:color w:val="000000"/>
              </w:rPr>
            </w:pPr>
            <w:r>
              <w:rPr>
                <w:rFonts w:hint="eastAsia" w:ascii="仿宋_GB2312" w:hAnsi="宋体" w:eastAsia="仿宋_GB2312" w:cs="宋体"/>
                <w:color w:val="000000"/>
              </w:rPr>
              <w:t>培养掌握管理、经济、法律、现代企业经营等理论及应用能力的高等技术应用型人才。</w:t>
            </w:r>
          </w:p>
        </w:tc>
      </w:tr>
    </w:tbl>
    <w:p>
      <w:pPr>
        <w:widowControl/>
        <w:spacing w:line="500" w:lineRule="exact"/>
        <w:rPr>
          <w:rFonts w:hint="eastAsia" w:ascii="宋体" w:hAnsi="宋体"/>
          <w:b/>
          <w:kern w:val="0"/>
          <w:sz w:val="36"/>
          <w:szCs w:val="36"/>
        </w:rPr>
      </w:pPr>
    </w:p>
    <w:p>
      <w:pPr>
        <w:widowControl/>
        <w:spacing w:line="600" w:lineRule="exact"/>
        <w:ind w:left="240" w:leftChars="100"/>
        <w:jc w:val="center"/>
        <w:rPr>
          <w:rFonts w:hint="eastAsia" w:ascii="宋体" w:hAnsi="宋体" w:cs="宋体"/>
          <w:b/>
          <w:bCs/>
          <w:color w:val="000000"/>
        </w:rPr>
      </w:pPr>
      <w:r>
        <w:rPr>
          <w:rFonts w:hint="eastAsia" w:ascii="宋体" w:hAnsi="宋体"/>
          <w:b/>
          <w:kern w:val="0"/>
          <w:sz w:val="36"/>
          <w:szCs w:val="36"/>
        </w:rPr>
        <w:t>有关情况说明</w:t>
      </w:r>
    </w:p>
    <w:p>
      <w:pPr>
        <w:widowControl/>
        <w:autoSpaceDE w:val="0"/>
        <w:autoSpaceDN w:val="0"/>
        <w:adjustRightInd w:val="0"/>
        <w:spacing w:line="500" w:lineRule="exact"/>
        <w:rPr>
          <w:rFonts w:hint="eastAsia" w:ascii="仿宋_GB2312" w:hAnsi="宋体" w:eastAsia="仿宋_GB2312" w:cs="宋体"/>
          <w:color w:val="000000"/>
        </w:rPr>
      </w:pPr>
      <w:r>
        <w:rPr>
          <w:rFonts w:hint="eastAsia" w:ascii="仿宋_GB2312" w:hAnsi="宋体" w:eastAsia="仿宋_GB2312" w:cs="宋体"/>
          <w:b/>
          <w:bCs/>
          <w:color w:val="000000"/>
        </w:rPr>
        <w:t>1</w:t>
      </w:r>
      <w:r>
        <w:rPr>
          <w:rFonts w:hint="eastAsia" w:ascii="仿宋_GB2312" w:hAnsi="华文仿宋" w:eastAsia="仿宋_GB2312"/>
          <w:color w:val="000000"/>
          <w:sz w:val="32"/>
        </w:rPr>
        <w:t>.</w:t>
      </w:r>
      <w:r>
        <w:rPr>
          <w:rFonts w:hint="eastAsia" w:ascii="仿宋_GB2312" w:hAnsi="宋体" w:eastAsia="仿宋_GB2312" w:cs="宋体"/>
          <w:b/>
          <w:bCs/>
          <w:color w:val="000000"/>
        </w:rPr>
        <w:t>学费优惠：</w:t>
      </w:r>
      <w:r>
        <w:rPr>
          <w:rFonts w:hint="eastAsia" w:ascii="仿宋_GB2312" w:hAnsi="宋体" w:eastAsia="仿宋_GB2312" w:cs="宋体"/>
          <w:color w:val="000000"/>
        </w:rPr>
        <w:t>数控技术、机械制造与自动化、机电一体化技术、电气自动化技术各专业2.5年总学费9000元（学院优惠2700元/人）、区总工会资助4000元/人）。大数据与会计、工商企业管理各专业2.5年总学费8100元（学院优惠2430元/人、区总工会资助4000元/人）</w:t>
      </w:r>
      <w:r>
        <w:rPr>
          <w:rFonts w:ascii="仿宋_GB2312" w:hAnsi="宋体" w:eastAsia="仿宋_GB2312" w:cs="宋体"/>
          <w:color w:val="000000"/>
        </w:rPr>
        <w:t>。</w:t>
      </w:r>
      <w:r>
        <w:rPr>
          <w:rFonts w:hint="eastAsia" w:ascii="仿宋_GB2312" w:hAnsi="宋体" w:eastAsia="仿宋_GB2312" w:cs="宋体"/>
          <w:color w:val="000000"/>
        </w:rPr>
        <w:t>教材费等费用由受资助学员自行负担。</w:t>
      </w:r>
    </w:p>
    <w:p>
      <w:pPr>
        <w:widowControl/>
        <w:autoSpaceDE w:val="0"/>
        <w:autoSpaceDN w:val="0"/>
        <w:adjustRightInd w:val="0"/>
        <w:spacing w:line="500" w:lineRule="exact"/>
        <w:rPr>
          <w:rFonts w:hint="eastAsia" w:ascii="仿宋_GB2312" w:hAnsi="宋体" w:eastAsia="仿宋_GB2312" w:cs="宋体"/>
          <w:color w:val="000000"/>
        </w:rPr>
      </w:pPr>
      <w:r>
        <w:rPr>
          <w:rFonts w:hint="eastAsia" w:ascii="仿宋_GB2312" w:hAnsi="宋体" w:eastAsia="仿宋_GB2312" w:cs="宋体"/>
          <w:b/>
          <w:bCs/>
          <w:color w:val="000000"/>
        </w:rPr>
        <w:t>2</w:t>
      </w:r>
      <w:r>
        <w:rPr>
          <w:rFonts w:hint="eastAsia" w:ascii="仿宋_GB2312" w:hAnsi="华文仿宋" w:eastAsia="仿宋_GB2312"/>
          <w:color w:val="000000"/>
          <w:sz w:val="32"/>
        </w:rPr>
        <w:t>.</w:t>
      </w:r>
      <w:r>
        <w:rPr>
          <w:rFonts w:hint="eastAsia" w:ascii="仿宋_GB2312" w:hAnsi="宋体" w:eastAsia="仿宋_GB2312" w:cs="宋体"/>
          <w:b/>
          <w:bCs/>
          <w:color w:val="000000"/>
        </w:rPr>
        <w:t>入学考试：</w:t>
      </w:r>
      <w:r>
        <w:rPr>
          <w:rFonts w:hint="eastAsia" w:ascii="仿宋_GB2312" w:hAnsi="宋体" w:eastAsia="仿宋_GB2312" w:cs="宋体"/>
          <w:color w:val="000000"/>
        </w:rPr>
        <w:t>免费组织考前复习（语文、数学、英语），单科满分150分，总分450分，</w:t>
      </w:r>
      <w:r>
        <w:rPr>
          <w:rFonts w:ascii="仿宋_GB2312" w:hAnsi="宋体" w:eastAsia="仿宋_GB2312" w:cs="宋体"/>
          <w:color w:val="000000"/>
        </w:rPr>
        <w:t>近四年的录取</w:t>
      </w:r>
      <w:r>
        <w:rPr>
          <w:rFonts w:hint="eastAsia" w:ascii="仿宋_GB2312" w:hAnsi="宋体" w:eastAsia="仿宋_GB2312" w:cs="宋体"/>
          <w:color w:val="000000"/>
        </w:rPr>
        <w:t>平均</w:t>
      </w:r>
      <w:r>
        <w:rPr>
          <w:rFonts w:ascii="仿宋_GB2312" w:hAnsi="宋体" w:eastAsia="仿宋_GB2312" w:cs="宋体"/>
          <w:color w:val="000000"/>
        </w:rPr>
        <w:t>分数线为1</w:t>
      </w:r>
      <w:r>
        <w:rPr>
          <w:rFonts w:hint="eastAsia" w:ascii="仿宋_GB2312" w:hAnsi="宋体" w:eastAsia="仿宋_GB2312" w:cs="宋体"/>
          <w:color w:val="000000"/>
        </w:rPr>
        <w:t>10</w:t>
      </w:r>
      <w:r>
        <w:rPr>
          <w:rFonts w:ascii="仿宋_GB2312" w:hAnsi="宋体" w:eastAsia="仿宋_GB2312" w:cs="宋体"/>
          <w:color w:val="000000"/>
        </w:rPr>
        <w:t>分，若年龄大于25周岁，还可</w:t>
      </w:r>
      <w:r>
        <w:rPr>
          <w:rFonts w:hint="eastAsia" w:ascii="仿宋_GB2312" w:hAnsi="宋体" w:eastAsia="仿宋_GB2312" w:cs="宋体"/>
          <w:color w:val="000000"/>
        </w:rPr>
        <w:t>降</w:t>
      </w:r>
      <w:r>
        <w:rPr>
          <w:rFonts w:ascii="仿宋_GB2312" w:hAnsi="宋体" w:eastAsia="仿宋_GB2312" w:cs="宋体"/>
          <w:color w:val="000000"/>
        </w:rPr>
        <w:t>20分</w:t>
      </w:r>
      <w:r>
        <w:rPr>
          <w:rFonts w:hint="eastAsia" w:ascii="仿宋_GB2312" w:hAnsi="宋体" w:eastAsia="仿宋_GB2312" w:cs="宋体"/>
          <w:color w:val="000000"/>
        </w:rPr>
        <w:t>录取</w:t>
      </w:r>
      <w:r>
        <w:rPr>
          <w:rFonts w:ascii="仿宋_GB2312" w:hAnsi="宋体" w:eastAsia="仿宋_GB2312" w:cs="宋体"/>
          <w:color w:val="000000"/>
        </w:rPr>
        <w:t>。</w:t>
      </w:r>
    </w:p>
    <w:p>
      <w:pPr>
        <w:widowControl/>
        <w:autoSpaceDE w:val="0"/>
        <w:autoSpaceDN w:val="0"/>
        <w:adjustRightInd w:val="0"/>
        <w:spacing w:line="500" w:lineRule="exact"/>
        <w:rPr>
          <w:rFonts w:hint="eastAsia" w:ascii="仿宋_GB2312" w:hAnsi="宋体" w:eastAsia="仿宋_GB2312" w:cs="宋体"/>
          <w:color w:val="000000"/>
        </w:rPr>
      </w:pPr>
      <w:r>
        <w:rPr>
          <w:rFonts w:hint="eastAsia" w:ascii="仿宋_GB2312" w:hAnsi="宋体" w:eastAsia="仿宋_GB2312" w:cs="宋体"/>
          <w:b/>
          <w:bCs/>
          <w:color w:val="000000"/>
        </w:rPr>
        <w:t>3</w:t>
      </w:r>
      <w:r>
        <w:rPr>
          <w:rFonts w:hint="eastAsia" w:ascii="仿宋_GB2312" w:hAnsi="华文仿宋" w:eastAsia="仿宋_GB2312"/>
          <w:color w:val="000000"/>
          <w:sz w:val="32"/>
        </w:rPr>
        <w:t>.</w:t>
      </w:r>
      <w:r>
        <w:rPr>
          <w:rFonts w:hint="eastAsia" w:ascii="仿宋_GB2312" w:hAnsi="宋体" w:eastAsia="仿宋_GB2312" w:cs="宋体"/>
          <w:b/>
          <w:bCs/>
          <w:color w:val="000000"/>
        </w:rPr>
        <w:t>教学组织：</w:t>
      </w:r>
      <w:r>
        <w:rPr>
          <w:rFonts w:hint="eastAsia" w:ascii="仿宋_GB2312" w:hAnsi="宋体" w:eastAsia="仿宋_GB2312" w:cs="宋体"/>
          <w:color w:val="000000"/>
        </w:rPr>
        <w:t>为</w:t>
      </w:r>
      <w:r>
        <w:rPr>
          <w:rFonts w:ascii="仿宋_GB2312" w:hAnsi="宋体" w:eastAsia="仿宋_GB2312" w:cs="宋体"/>
          <w:color w:val="000000"/>
        </w:rPr>
        <w:t>缓解工学矛盾</w:t>
      </w:r>
      <w:r>
        <w:rPr>
          <w:rFonts w:hint="eastAsia" w:ascii="仿宋_GB2312" w:hAnsi="宋体" w:eastAsia="仿宋_GB2312" w:cs="宋体"/>
          <w:color w:val="000000"/>
        </w:rPr>
        <w:t>，授</w:t>
      </w:r>
      <w:r>
        <w:rPr>
          <w:rFonts w:ascii="仿宋_GB2312" w:hAnsi="宋体" w:eastAsia="仿宋_GB2312" w:cs="宋体"/>
          <w:color w:val="000000"/>
        </w:rPr>
        <w:t>课时间一般安排在双休日</w:t>
      </w:r>
      <w:r>
        <w:rPr>
          <w:rFonts w:hint="eastAsia" w:ascii="仿宋_GB2312" w:hAnsi="宋体" w:eastAsia="仿宋_GB2312" w:cs="宋体"/>
          <w:color w:val="000000"/>
        </w:rPr>
        <w:t>。</w:t>
      </w:r>
    </w:p>
    <w:p>
      <w:pPr>
        <w:widowControl/>
        <w:autoSpaceDE w:val="0"/>
        <w:autoSpaceDN w:val="0"/>
        <w:adjustRightInd w:val="0"/>
        <w:spacing w:line="500" w:lineRule="exact"/>
        <w:rPr>
          <w:rFonts w:ascii="仿宋_GB2312" w:hAnsi="宋体" w:eastAsia="仿宋_GB2312" w:cs="宋体"/>
          <w:color w:val="000000"/>
        </w:rPr>
      </w:pPr>
      <w:r>
        <w:rPr>
          <w:rFonts w:hint="eastAsia" w:ascii="仿宋_GB2312" w:hAnsi="宋体" w:eastAsia="仿宋_GB2312" w:cs="宋体"/>
          <w:b/>
          <w:bCs/>
          <w:color w:val="000000"/>
        </w:rPr>
        <w:t>4</w:t>
      </w:r>
      <w:r>
        <w:rPr>
          <w:rFonts w:hint="eastAsia" w:ascii="仿宋_GB2312" w:hAnsi="华文仿宋" w:eastAsia="仿宋_GB2312"/>
          <w:color w:val="000000"/>
          <w:sz w:val="32"/>
        </w:rPr>
        <w:t>.</w:t>
      </w:r>
      <w:r>
        <w:rPr>
          <w:rFonts w:hint="eastAsia" w:ascii="仿宋_GB2312" w:hAnsi="宋体" w:eastAsia="仿宋_GB2312" w:cs="宋体"/>
          <w:b/>
          <w:bCs/>
          <w:color w:val="000000"/>
        </w:rPr>
        <w:t>教学地点：</w:t>
      </w:r>
      <w:r>
        <w:rPr>
          <w:rFonts w:hint="eastAsia" w:ascii="仿宋_GB2312" w:hAnsi="宋体" w:eastAsia="仿宋_GB2312" w:cs="宋体"/>
          <w:color w:val="000000"/>
        </w:rPr>
        <w:t>杭州萧山技师学院（萧山区通惠南路448号）。</w:t>
      </w:r>
    </w:p>
    <w:p>
      <w:pPr>
        <w:widowControl/>
        <w:autoSpaceDE w:val="0"/>
        <w:autoSpaceDN w:val="0"/>
        <w:adjustRightInd w:val="0"/>
        <w:spacing w:line="500" w:lineRule="exact"/>
        <w:rPr>
          <w:rFonts w:hint="eastAsia" w:ascii="宋体" w:hAnsi="宋体" w:cs="宋体"/>
          <w:sz w:val="21"/>
          <w:szCs w:val="21"/>
        </w:rPr>
      </w:pPr>
      <w:r>
        <w:rPr>
          <w:rFonts w:hint="eastAsia" w:ascii="仿宋_GB2312" w:hAnsi="宋体" w:eastAsia="仿宋_GB2312" w:cs="宋体"/>
          <w:b/>
          <w:bCs/>
          <w:color w:val="000000"/>
        </w:rPr>
        <w:t>5</w:t>
      </w:r>
      <w:r>
        <w:rPr>
          <w:rFonts w:hint="eastAsia" w:ascii="仿宋_GB2312" w:hAnsi="华文仿宋" w:eastAsia="仿宋_GB2312"/>
          <w:color w:val="000000"/>
          <w:sz w:val="32"/>
        </w:rPr>
        <w:t>.</w:t>
      </w:r>
      <w:r>
        <w:rPr>
          <w:rFonts w:hint="eastAsia" w:ascii="仿宋_GB2312" w:hAnsi="宋体" w:eastAsia="仿宋_GB2312" w:cs="宋体"/>
          <w:b/>
          <w:bCs/>
          <w:color w:val="000000"/>
        </w:rPr>
        <w:t>咨询电话：</w:t>
      </w:r>
      <w:r>
        <w:rPr>
          <w:rFonts w:hint="eastAsia" w:ascii="仿宋_GB2312" w:hAnsi="宋体" w:eastAsia="仿宋_GB2312" w:cs="宋体"/>
          <w:color w:val="000000"/>
        </w:rPr>
        <w:t>浙江机电职业技术学院萧山教学站：0571-83720898 联系人：邵建平</w:t>
      </w:r>
    </w:p>
    <w:p>
      <w:pPr>
        <w:spacing w:line="360" w:lineRule="auto"/>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浙江电大萧山学院2022年秋季开放教育专科招生说明</w:t>
      </w:r>
    </w:p>
    <w:p>
      <w:pPr>
        <w:spacing w:line="360" w:lineRule="auto"/>
        <w:ind w:firstLine="480" w:firstLineChars="200"/>
        <w:rPr>
          <w:rFonts w:ascii="宋体" w:hAnsi="宋体"/>
          <w:szCs w:val="21"/>
        </w:rPr>
      </w:pPr>
      <w:r>
        <w:rPr>
          <w:rFonts w:ascii="宋体" w:hAnsi="宋体"/>
          <w:szCs w:val="21"/>
        </w:rPr>
        <w:t>浙江电大萧山学院</w:t>
      </w:r>
      <w:r>
        <w:rPr>
          <w:rFonts w:hint="eastAsia" w:ascii="宋体" w:hAnsi="宋体"/>
          <w:szCs w:val="21"/>
        </w:rPr>
        <w:t>招</w:t>
      </w:r>
      <w:r>
        <w:rPr>
          <w:rFonts w:hint="eastAsia" w:ascii="宋体" w:hAnsi="宋体"/>
          <w:color w:val="000000"/>
          <w:szCs w:val="21"/>
        </w:rPr>
        <w:t>收国家开放大学（原中央广播电视大学）开放教育</w:t>
      </w:r>
      <w:r>
        <w:rPr>
          <w:rFonts w:hint="eastAsia" w:ascii="宋体" w:hAnsi="宋体"/>
          <w:szCs w:val="21"/>
        </w:rPr>
        <w:t>专科学生，免国家统一入学考试，由国家开放大学注册</w:t>
      </w:r>
      <w:r>
        <w:rPr>
          <w:rFonts w:hint="eastAsia" w:ascii="宋体" w:hAnsi="宋体"/>
          <w:color w:val="000000"/>
          <w:szCs w:val="21"/>
        </w:rPr>
        <w:t>后即可入学。2</w:t>
      </w:r>
      <w:r>
        <w:rPr>
          <w:rFonts w:ascii="宋体" w:hAnsi="宋体"/>
          <w:color w:val="000000"/>
          <w:szCs w:val="21"/>
        </w:rPr>
        <w:t>022</w:t>
      </w:r>
      <w:r>
        <w:rPr>
          <w:rFonts w:hint="eastAsia" w:ascii="宋体" w:hAnsi="宋体"/>
          <w:color w:val="000000"/>
          <w:szCs w:val="21"/>
        </w:rPr>
        <w:t>年秋季招生报名截止时间</w:t>
      </w:r>
      <w:r>
        <w:rPr>
          <w:rFonts w:hint="eastAsia" w:ascii="宋体" w:hAnsi="宋体"/>
          <w:color w:val="000000"/>
          <w:szCs w:val="21"/>
          <w:lang w:val="en-US" w:eastAsia="zh-CN"/>
        </w:rPr>
        <w:t>为</w:t>
      </w:r>
      <w:r>
        <w:rPr>
          <w:rFonts w:hint="eastAsia" w:ascii="宋体" w:hAnsi="宋体"/>
          <w:color w:val="000000"/>
          <w:szCs w:val="21"/>
        </w:rPr>
        <w:t>2</w:t>
      </w:r>
      <w:r>
        <w:rPr>
          <w:rFonts w:ascii="宋体" w:hAnsi="宋体"/>
          <w:color w:val="000000"/>
          <w:szCs w:val="21"/>
        </w:rPr>
        <w:t>022</w:t>
      </w:r>
      <w:r>
        <w:rPr>
          <w:rFonts w:hint="eastAsia" w:ascii="宋体" w:hAnsi="宋体"/>
          <w:color w:val="000000"/>
          <w:szCs w:val="21"/>
        </w:rPr>
        <w:t>年8月底，专科</w:t>
      </w:r>
      <w:r>
        <w:rPr>
          <w:rFonts w:hint="eastAsia" w:ascii="宋体" w:hAnsi="宋体"/>
          <w:szCs w:val="21"/>
        </w:rPr>
        <w:t>业余学习最短学习年限为两年半。</w:t>
      </w:r>
    </w:p>
    <w:p>
      <w:pPr>
        <w:widowControl/>
        <w:spacing w:line="360" w:lineRule="auto"/>
        <w:ind w:firstLine="482" w:firstLineChars="200"/>
        <w:rPr>
          <w:rFonts w:hint="eastAsia" w:ascii="宋体" w:hAnsi="宋体" w:cs="宋体"/>
          <w:b/>
          <w:kern w:val="0"/>
          <w:szCs w:val="21"/>
        </w:rPr>
      </w:pPr>
      <w:r>
        <w:rPr>
          <w:rFonts w:hint="eastAsia" w:ascii="宋体" w:hAnsi="宋体" w:cs="宋体"/>
          <w:b/>
          <w:kern w:val="0"/>
          <w:szCs w:val="21"/>
        </w:rPr>
        <w:t xml:space="preserve">一、招生对象 </w:t>
      </w:r>
    </w:p>
    <w:p>
      <w:pPr>
        <w:widowControl/>
        <w:spacing w:line="360" w:lineRule="auto"/>
        <w:ind w:firstLine="480" w:firstLineChars="200"/>
        <w:rPr>
          <w:rFonts w:hint="eastAsia" w:ascii="宋体" w:hAnsi="宋体" w:cs="宋体"/>
          <w:kern w:val="0"/>
          <w:szCs w:val="21"/>
        </w:rPr>
      </w:pPr>
      <w:r>
        <w:rPr>
          <w:rFonts w:hint="eastAsia" w:ascii="宋体" w:hAnsi="宋体" w:cs="宋体"/>
          <w:kern w:val="0"/>
          <w:szCs w:val="21"/>
        </w:rPr>
        <w:t>具有普高、职高、中专、技校及以上学历者。</w:t>
      </w:r>
    </w:p>
    <w:p>
      <w:pPr>
        <w:widowControl/>
        <w:spacing w:line="360" w:lineRule="auto"/>
        <w:ind w:firstLine="480" w:firstLineChars="200"/>
        <w:rPr>
          <w:rFonts w:hint="eastAsia" w:ascii="宋体" w:hAnsi="宋体" w:cs="宋体"/>
          <w:kern w:val="0"/>
          <w:szCs w:val="21"/>
        </w:rPr>
      </w:pPr>
      <w:r>
        <w:rPr>
          <w:rFonts w:hint="eastAsia" w:ascii="宋体" w:hAnsi="宋体" w:cs="宋体"/>
          <w:kern w:val="0"/>
          <w:szCs w:val="21"/>
        </w:rPr>
        <w:t xml:space="preserve">备注：招生对象不受专业、年龄等限制，专业选择灵活。 </w:t>
      </w:r>
    </w:p>
    <w:p>
      <w:pPr>
        <w:widowControl/>
        <w:spacing w:line="360" w:lineRule="auto"/>
        <w:ind w:firstLine="482" w:firstLineChars="200"/>
        <w:rPr>
          <w:rFonts w:hint="eastAsia" w:ascii="宋体" w:hAnsi="宋体" w:cs="宋体"/>
          <w:b/>
          <w:kern w:val="0"/>
          <w:szCs w:val="21"/>
        </w:rPr>
      </w:pPr>
      <w:r>
        <w:rPr>
          <w:rFonts w:hint="eastAsia" w:ascii="宋体" w:hAnsi="宋体" w:cs="宋体"/>
          <w:b/>
          <w:kern w:val="0"/>
          <w:szCs w:val="21"/>
        </w:rPr>
        <w:t xml:space="preserve">二、报名时间与开学时间 </w:t>
      </w:r>
    </w:p>
    <w:p>
      <w:pPr>
        <w:widowControl/>
        <w:spacing w:line="360" w:lineRule="auto"/>
        <w:ind w:firstLine="480" w:firstLineChars="200"/>
        <w:rPr>
          <w:rFonts w:ascii="宋体" w:hAnsi="宋体" w:cs="宋体"/>
          <w:kern w:val="0"/>
          <w:szCs w:val="21"/>
        </w:rPr>
      </w:pPr>
      <w:r>
        <w:rPr>
          <w:rFonts w:hint="eastAsia" w:ascii="宋体" w:hAnsi="宋体" w:cs="宋体"/>
          <w:kern w:val="0"/>
          <w:szCs w:val="21"/>
        </w:rPr>
        <w:t>202</w:t>
      </w:r>
      <w:r>
        <w:rPr>
          <w:rFonts w:ascii="宋体" w:hAnsi="宋体" w:cs="宋体"/>
          <w:kern w:val="0"/>
          <w:szCs w:val="21"/>
        </w:rPr>
        <w:t>2</w:t>
      </w:r>
      <w:r>
        <w:rPr>
          <w:rFonts w:hint="eastAsia" w:ascii="宋体" w:hAnsi="宋体" w:cs="宋体"/>
          <w:kern w:val="0"/>
          <w:szCs w:val="21"/>
        </w:rPr>
        <w:t>年秋季报名时间：即日起至202</w:t>
      </w:r>
      <w:r>
        <w:rPr>
          <w:rFonts w:ascii="宋体" w:hAnsi="宋体" w:cs="宋体"/>
          <w:kern w:val="0"/>
          <w:szCs w:val="21"/>
        </w:rPr>
        <w:t>2</w:t>
      </w:r>
      <w:r>
        <w:rPr>
          <w:rFonts w:hint="eastAsia" w:ascii="宋体" w:hAnsi="宋体" w:cs="宋体"/>
          <w:kern w:val="0"/>
          <w:szCs w:val="21"/>
        </w:rPr>
        <w:t>年8月3</w:t>
      </w:r>
      <w:r>
        <w:rPr>
          <w:rFonts w:ascii="宋体" w:hAnsi="宋体" w:cs="宋体"/>
          <w:kern w:val="0"/>
          <w:szCs w:val="21"/>
        </w:rPr>
        <w:t>1</w:t>
      </w:r>
      <w:r>
        <w:rPr>
          <w:rFonts w:hint="eastAsia" w:ascii="宋体" w:hAnsi="宋体" w:cs="宋体"/>
          <w:kern w:val="0"/>
          <w:szCs w:val="21"/>
        </w:rPr>
        <w:t>日，9月份开学。</w:t>
      </w:r>
    </w:p>
    <w:p>
      <w:pPr>
        <w:widowControl/>
        <w:spacing w:line="360" w:lineRule="auto"/>
        <w:ind w:firstLine="482" w:firstLineChars="200"/>
        <w:rPr>
          <w:rFonts w:ascii="宋体" w:hAnsi="宋体" w:cs="宋体"/>
          <w:b/>
          <w:kern w:val="0"/>
          <w:szCs w:val="21"/>
        </w:rPr>
      </w:pPr>
      <w:r>
        <w:rPr>
          <w:rFonts w:hint="eastAsia" w:ascii="宋体" w:hAnsi="宋体" w:cs="宋体"/>
          <w:b/>
          <w:kern w:val="0"/>
          <w:szCs w:val="21"/>
        </w:rPr>
        <w:t>三、入学方式</w:t>
      </w:r>
    </w:p>
    <w:p>
      <w:pPr>
        <w:widowControl/>
        <w:spacing w:line="360" w:lineRule="auto"/>
        <w:ind w:firstLine="480" w:firstLineChars="200"/>
        <w:rPr>
          <w:rFonts w:ascii="宋体" w:hAnsi="宋体"/>
          <w:color w:val="000000"/>
          <w:szCs w:val="21"/>
        </w:rPr>
      </w:pPr>
      <w:r>
        <w:rPr>
          <w:rFonts w:hint="eastAsia" w:ascii="宋体" w:hAnsi="宋体"/>
          <w:szCs w:val="21"/>
        </w:rPr>
        <w:t>开放教育免国家统一考试，由国家开放大学注册</w:t>
      </w:r>
      <w:r>
        <w:rPr>
          <w:rFonts w:hint="eastAsia" w:ascii="宋体" w:hAnsi="宋体"/>
          <w:color w:val="000000"/>
          <w:szCs w:val="21"/>
        </w:rPr>
        <w:t>后即可入学。</w:t>
      </w:r>
    </w:p>
    <w:p>
      <w:pPr>
        <w:widowControl/>
        <w:spacing w:line="360" w:lineRule="auto"/>
        <w:ind w:firstLine="482" w:firstLineChars="200"/>
        <w:rPr>
          <w:rFonts w:ascii="宋体" w:hAnsi="宋体" w:cs="宋体"/>
          <w:b/>
          <w:kern w:val="0"/>
          <w:szCs w:val="21"/>
        </w:rPr>
      </w:pPr>
      <w:r>
        <w:rPr>
          <w:rFonts w:hint="eastAsia" w:ascii="宋体" w:hAnsi="宋体" w:cs="宋体"/>
          <w:b/>
          <w:kern w:val="0"/>
          <w:szCs w:val="21"/>
        </w:rPr>
        <w:t>四、拟招收专业、学习费用等</w:t>
      </w:r>
    </w:p>
    <w:p>
      <w:pPr>
        <w:widowControl/>
        <w:spacing w:line="360" w:lineRule="auto"/>
        <w:ind w:firstLine="482" w:firstLineChars="200"/>
        <w:rPr>
          <w:rFonts w:hint="eastAsia" w:ascii="宋体" w:hAnsi="宋体" w:cs="宋体"/>
          <w:b/>
          <w:kern w:val="0"/>
          <w:szCs w:val="21"/>
        </w:rPr>
      </w:pPr>
    </w:p>
    <w:tbl>
      <w:tblPr>
        <w:tblStyle w:val="2"/>
        <w:tblW w:w="7225" w:type="dxa"/>
        <w:jc w:val="center"/>
        <w:tblLayout w:type="autofit"/>
        <w:tblCellMar>
          <w:top w:w="0" w:type="dxa"/>
          <w:left w:w="108" w:type="dxa"/>
          <w:bottom w:w="0" w:type="dxa"/>
          <w:right w:w="108" w:type="dxa"/>
        </w:tblCellMar>
      </w:tblPr>
      <w:tblGrid>
        <w:gridCol w:w="1413"/>
        <w:gridCol w:w="2137"/>
        <w:gridCol w:w="2115"/>
        <w:gridCol w:w="1560"/>
      </w:tblGrid>
      <w:tr>
        <w:tblPrEx>
          <w:tblCellMar>
            <w:top w:w="0" w:type="dxa"/>
            <w:left w:w="108" w:type="dxa"/>
            <w:bottom w:w="0" w:type="dxa"/>
            <w:right w:w="108" w:type="dxa"/>
          </w:tblCellMar>
        </w:tblPrEx>
        <w:trPr>
          <w:trHeight w:val="454" w:hRule="atLeast"/>
          <w:jc w:val="center"/>
        </w:trPr>
        <w:tc>
          <w:tcPr>
            <w:tcW w:w="141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jc w:val="center"/>
              <w:rPr>
                <w:rFonts w:ascii="宋体" w:hAnsi="宋体" w:cs="宋体"/>
                <w:b/>
                <w:bCs/>
                <w:kern w:val="0"/>
                <w:szCs w:val="21"/>
              </w:rPr>
            </w:pPr>
            <w:r>
              <w:rPr>
                <w:rFonts w:hint="eastAsia" w:ascii="宋体" w:hAnsi="宋体" w:cs="宋体"/>
                <w:b/>
                <w:bCs/>
                <w:kern w:val="0"/>
                <w:szCs w:val="21"/>
              </w:rPr>
              <w:t>层次</w:t>
            </w:r>
          </w:p>
        </w:tc>
        <w:tc>
          <w:tcPr>
            <w:tcW w:w="2137"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ascii="宋体" w:hAnsi="宋体" w:cs="宋体"/>
                <w:b/>
                <w:bCs/>
                <w:kern w:val="0"/>
                <w:szCs w:val="21"/>
              </w:rPr>
            </w:pPr>
            <w:r>
              <w:rPr>
                <w:rFonts w:hint="eastAsia" w:ascii="宋体" w:hAnsi="宋体" w:cs="宋体"/>
                <w:b/>
                <w:bCs/>
                <w:kern w:val="0"/>
                <w:szCs w:val="21"/>
              </w:rPr>
              <w:t>专  业</w:t>
            </w:r>
          </w:p>
        </w:tc>
        <w:tc>
          <w:tcPr>
            <w:tcW w:w="2115" w:type="dxa"/>
            <w:tcBorders>
              <w:top w:val="single" w:color="auto" w:sz="4" w:space="0"/>
              <w:left w:val="nil"/>
              <w:bottom w:val="single" w:color="auto" w:sz="4" w:space="0"/>
              <w:right w:val="single" w:color="auto" w:sz="4" w:space="0"/>
            </w:tcBorders>
            <w:shd w:val="clear" w:color="auto" w:fill="FFFFFF"/>
            <w:noWrap w:val="0"/>
            <w:vAlign w:val="center"/>
          </w:tcPr>
          <w:p>
            <w:pPr>
              <w:widowControl/>
              <w:ind w:firstLine="241" w:firstLineChars="100"/>
              <w:rPr>
                <w:rFonts w:hint="eastAsia" w:ascii="宋体" w:hAnsi="宋体" w:cs="宋体"/>
                <w:kern w:val="0"/>
                <w:szCs w:val="21"/>
              </w:rPr>
            </w:pPr>
            <w:r>
              <w:rPr>
                <w:rFonts w:hint="eastAsia" w:ascii="宋体" w:hAnsi="宋体" w:cs="宋体"/>
                <w:b/>
                <w:bCs/>
                <w:kern w:val="0"/>
                <w:szCs w:val="21"/>
              </w:rPr>
              <w:t>收费标准（元）</w:t>
            </w:r>
          </w:p>
        </w:tc>
        <w:tc>
          <w:tcPr>
            <w:tcW w:w="1560" w:type="dxa"/>
            <w:tcBorders>
              <w:top w:val="single" w:color="auto" w:sz="4" w:space="0"/>
              <w:left w:val="nil"/>
              <w:bottom w:val="single" w:color="auto" w:sz="4" w:space="0"/>
              <w:right w:val="single" w:color="auto" w:sz="4" w:space="0"/>
            </w:tcBorders>
            <w:shd w:val="clear" w:color="auto" w:fill="FFFFFF"/>
            <w:noWrap w:val="0"/>
            <w:vAlign w:val="center"/>
          </w:tcPr>
          <w:p>
            <w:pPr>
              <w:widowControl/>
              <w:jc w:val="center"/>
              <w:rPr>
                <w:rFonts w:hint="eastAsia" w:ascii="宋体" w:hAnsi="宋体" w:cs="宋体"/>
                <w:b/>
                <w:bCs/>
                <w:kern w:val="0"/>
                <w:szCs w:val="21"/>
              </w:rPr>
            </w:pPr>
            <w:r>
              <w:rPr>
                <w:rFonts w:hint="eastAsia" w:ascii="宋体" w:hAnsi="宋体" w:cs="宋体"/>
                <w:b/>
                <w:bCs/>
                <w:kern w:val="0"/>
                <w:szCs w:val="21"/>
              </w:rPr>
              <w:t>学习年限</w:t>
            </w:r>
          </w:p>
        </w:tc>
      </w:tr>
      <w:tr>
        <w:tblPrEx>
          <w:tblCellMar>
            <w:top w:w="0" w:type="dxa"/>
            <w:left w:w="108" w:type="dxa"/>
            <w:bottom w:w="0" w:type="dxa"/>
            <w:right w:w="108" w:type="dxa"/>
          </w:tblCellMar>
        </w:tblPrEx>
        <w:trPr>
          <w:trHeight w:val="454" w:hRule="atLeast"/>
          <w:jc w:val="center"/>
        </w:trPr>
        <w:tc>
          <w:tcPr>
            <w:tcW w:w="1413" w:type="dxa"/>
            <w:vMerge w:val="restart"/>
            <w:tcBorders>
              <w:top w:val="single" w:color="auto" w:sz="4" w:space="0"/>
              <w:left w:val="single" w:color="auto" w:sz="4" w:space="0"/>
              <w:right w:val="single" w:color="auto" w:sz="4" w:space="0"/>
            </w:tcBorders>
            <w:shd w:val="clear" w:color="auto" w:fill="FFFFFF"/>
            <w:noWrap w:val="0"/>
            <w:vAlign w:val="center"/>
          </w:tcPr>
          <w:p>
            <w:pPr>
              <w:widowControl/>
              <w:jc w:val="center"/>
              <w:rPr>
                <w:rFonts w:ascii="宋体" w:hAnsi="宋体" w:cs="宋体"/>
                <w:kern w:val="0"/>
                <w:szCs w:val="21"/>
              </w:rPr>
            </w:pPr>
            <w:r>
              <w:rPr>
                <w:rFonts w:hint="eastAsia" w:ascii="宋体" w:hAnsi="宋体" w:cs="宋体"/>
                <w:kern w:val="0"/>
                <w:szCs w:val="21"/>
              </w:rPr>
              <w:t>专 科</w:t>
            </w:r>
          </w:p>
        </w:tc>
        <w:tc>
          <w:tcPr>
            <w:tcW w:w="2137" w:type="dxa"/>
            <w:tcBorders>
              <w:top w:val="nil"/>
              <w:left w:val="single" w:color="auto" w:sz="4" w:space="0"/>
              <w:bottom w:val="single" w:color="auto" w:sz="4" w:space="0"/>
              <w:right w:val="single" w:color="auto" w:sz="4" w:space="0"/>
            </w:tcBorders>
            <w:shd w:val="clear" w:color="auto" w:fill="FFFFFF"/>
            <w:noWrap w:val="0"/>
            <w:vAlign w:val="center"/>
          </w:tcPr>
          <w:p>
            <w:pPr>
              <w:widowControl/>
              <w:jc w:val="center"/>
              <w:rPr>
                <w:rFonts w:ascii="宋体" w:hAnsi="宋体" w:cs="宋体"/>
                <w:kern w:val="0"/>
                <w:szCs w:val="21"/>
              </w:rPr>
            </w:pPr>
            <w:r>
              <w:rPr>
                <w:rFonts w:hint="eastAsia" w:ascii="宋体" w:hAnsi="宋体" w:cs="宋体"/>
                <w:kern w:val="0"/>
                <w:szCs w:val="21"/>
              </w:rPr>
              <w:t>工商企业管理</w:t>
            </w:r>
          </w:p>
        </w:tc>
        <w:tc>
          <w:tcPr>
            <w:tcW w:w="2115" w:type="dxa"/>
            <w:vMerge w:val="restart"/>
            <w:tcBorders>
              <w:top w:val="single" w:color="auto" w:sz="4" w:space="0"/>
              <w:left w:val="nil"/>
              <w:right w:val="single" w:color="auto" w:sz="4" w:space="0"/>
            </w:tcBorders>
            <w:shd w:val="clear" w:color="auto" w:fill="FFFFFF"/>
            <w:noWrap w:val="0"/>
            <w:vAlign w:val="center"/>
          </w:tcPr>
          <w:p>
            <w:pPr>
              <w:widowControl/>
              <w:rPr>
                <w:rFonts w:ascii="宋体" w:hAnsi="宋体" w:cs="宋体"/>
                <w:color w:val="000000"/>
                <w:kern w:val="0"/>
                <w:szCs w:val="21"/>
              </w:rPr>
            </w:pPr>
            <w:r>
              <w:rPr>
                <w:rFonts w:hint="eastAsia" w:ascii="宋体" w:hAnsi="宋体" w:cs="宋体"/>
                <w:color w:val="000000"/>
                <w:kern w:val="0"/>
                <w:szCs w:val="21"/>
              </w:rPr>
              <w:t>学费总计8360元。</w:t>
            </w:r>
          </w:p>
          <w:p>
            <w:pPr>
              <w:widowControl/>
              <w:rPr>
                <w:rFonts w:hint="eastAsia" w:ascii="宋体" w:hAnsi="宋体" w:cs="宋体"/>
                <w:kern w:val="0"/>
                <w:szCs w:val="21"/>
              </w:rPr>
            </w:pPr>
            <w:r>
              <w:rPr>
                <w:rFonts w:hint="eastAsia" w:ascii="宋体" w:hAnsi="宋体" w:cs="宋体"/>
                <w:color w:val="000000"/>
                <w:kern w:val="0"/>
                <w:szCs w:val="21"/>
              </w:rPr>
              <w:t>区总工会资助4</w:t>
            </w:r>
            <w:r>
              <w:rPr>
                <w:rFonts w:ascii="宋体" w:hAnsi="宋体" w:cs="宋体"/>
                <w:color w:val="000000"/>
                <w:kern w:val="0"/>
                <w:szCs w:val="21"/>
              </w:rPr>
              <w:t>000</w:t>
            </w:r>
            <w:r>
              <w:rPr>
                <w:rFonts w:hint="eastAsia" w:ascii="宋体" w:hAnsi="宋体" w:cs="宋体"/>
                <w:color w:val="000000"/>
                <w:kern w:val="0"/>
                <w:szCs w:val="21"/>
              </w:rPr>
              <w:t>元。</w:t>
            </w:r>
          </w:p>
        </w:tc>
        <w:tc>
          <w:tcPr>
            <w:tcW w:w="1560" w:type="dxa"/>
            <w:vMerge w:val="restart"/>
            <w:tcBorders>
              <w:top w:val="single" w:color="auto" w:sz="4" w:space="0"/>
              <w:left w:val="single" w:color="auto" w:sz="4" w:space="0"/>
              <w:right w:val="single" w:color="auto" w:sz="4" w:space="0"/>
            </w:tcBorders>
            <w:shd w:val="clear" w:color="auto" w:fill="FFFFFF"/>
            <w:noWrap w:val="0"/>
            <w:vAlign w:val="center"/>
          </w:tcPr>
          <w:p>
            <w:pPr>
              <w:widowControl/>
              <w:rPr>
                <w:rFonts w:ascii="宋体" w:hAnsi="宋体" w:cs="宋体"/>
                <w:kern w:val="0"/>
                <w:szCs w:val="21"/>
              </w:rPr>
            </w:pPr>
            <w:r>
              <w:rPr>
                <w:rFonts w:hint="eastAsia" w:ascii="宋体" w:hAnsi="宋体" w:cs="宋体"/>
                <w:kern w:val="0"/>
                <w:szCs w:val="21"/>
              </w:rPr>
              <w:t>最短学习年限为2</w:t>
            </w:r>
            <w:r>
              <w:rPr>
                <w:rFonts w:ascii="宋体" w:hAnsi="宋体" w:cs="宋体"/>
                <w:kern w:val="0"/>
                <w:szCs w:val="21"/>
              </w:rPr>
              <w:t>.5</w:t>
            </w:r>
            <w:r>
              <w:rPr>
                <w:rFonts w:hint="eastAsia" w:ascii="宋体" w:hAnsi="宋体" w:cs="宋体"/>
                <w:kern w:val="0"/>
                <w:szCs w:val="21"/>
              </w:rPr>
              <w:t>年，学籍自注册入学起八年内有效。</w:t>
            </w:r>
          </w:p>
          <w:p>
            <w:pPr>
              <w:widowControl/>
              <w:rPr>
                <w:rFonts w:ascii="宋体" w:hAnsi="宋体" w:cs="宋体"/>
                <w:kern w:val="0"/>
                <w:szCs w:val="21"/>
              </w:rPr>
            </w:pPr>
          </w:p>
          <w:p>
            <w:pPr>
              <w:widowControl/>
              <w:rPr>
                <w:rFonts w:hint="eastAsia" w:ascii="宋体" w:hAnsi="宋体" w:cs="宋体"/>
                <w:color w:val="000000"/>
                <w:kern w:val="0"/>
                <w:szCs w:val="21"/>
              </w:rPr>
            </w:pPr>
          </w:p>
        </w:tc>
      </w:tr>
      <w:tr>
        <w:tblPrEx>
          <w:tblCellMar>
            <w:top w:w="0" w:type="dxa"/>
            <w:left w:w="108" w:type="dxa"/>
            <w:bottom w:w="0" w:type="dxa"/>
            <w:right w:w="108" w:type="dxa"/>
          </w:tblCellMar>
        </w:tblPrEx>
        <w:trPr>
          <w:trHeight w:val="454" w:hRule="atLeast"/>
          <w:jc w:val="center"/>
        </w:trPr>
        <w:tc>
          <w:tcPr>
            <w:tcW w:w="1413" w:type="dxa"/>
            <w:vMerge w:val="continue"/>
            <w:tcBorders>
              <w:left w:val="single" w:color="auto" w:sz="4" w:space="0"/>
              <w:right w:val="single" w:color="auto" w:sz="4" w:space="0"/>
            </w:tcBorders>
            <w:shd w:val="clear" w:color="auto" w:fill="auto"/>
            <w:noWrap w:val="0"/>
            <w:vAlign w:val="center"/>
          </w:tcPr>
          <w:p>
            <w:pPr>
              <w:ind w:firstLine="266" w:firstLineChars="111"/>
              <w:rPr>
                <w:rFonts w:ascii="宋体" w:hAnsi="宋体" w:cs="宋体"/>
                <w:kern w:val="0"/>
                <w:szCs w:val="21"/>
              </w:rPr>
            </w:pPr>
          </w:p>
        </w:tc>
        <w:tc>
          <w:tcPr>
            <w:tcW w:w="21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jc w:val="center"/>
              <w:rPr>
                <w:rFonts w:ascii="宋体" w:hAnsi="宋体" w:cs="宋体"/>
                <w:kern w:val="0"/>
                <w:szCs w:val="21"/>
              </w:rPr>
            </w:pPr>
            <w:r>
              <w:rPr>
                <w:rFonts w:hint="eastAsia" w:ascii="宋体" w:hAnsi="宋体" w:cs="宋体"/>
                <w:kern w:val="0"/>
                <w:szCs w:val="21"/>
              </w:rPr>
              <w:t>大数据与会计</w:t>
            </w:r>
          </w:p>
        </w:tc>
        <w:tc>
          <w:tcPr>
            <w:tcW w:w="2115" w:type="dxa"/>
            <w:vMerge w:val="continue"/>
            <w:tcBorders>
              <w:left w:val="nil"/>
              <w:right w:val="single" w:color="auto" w:sz="4" w:space="0"/>
            </w:tcBorders>
            <w:shd w:val="clear" w:color="auto" w:fill="FFFFFF"/>
            <w:noWrap w:val="0"/>
            <w:vAlign w:val="center"/>
          </w:tcPr>
          <w:p>
            <w:pPr>
              <w:widowControl/>
              <w:ind w:firstLine="720" w:firstLineChars="300"/>
              <w:rPr>
                <w:rFonts w:ascii="宋体" w:hAnsi="宋体" w:cs="宋体"/>
                <w:kern w:val="0"/>
                <w:szCs w:val="21"/>
              </w:rPr>
            </w:pPr>
          </w:p>
        </w:tc>
        <w:tc>
          <w:tcPr>
            <w:tcW w:w="1560" w:type="dxa"/>
            <w:vMerge w:val="continue"/>
            <w:tcBorders>
              <w:left w:val="single" w:color="auto" w:sz="4" w:space="0"/>
              <w:right w:val="single" w:color="auto" w:sz="4" w:space="0"/>
            </w:tcBorders>
            <w:shd w:val="clear" w:color="auto" w:fill="FFFFFF"/>
            <w:noWrap w:val="0"/>
            <w:vAlign w:val="top"/>
          </w:tcPr>
          <w:p>
            <w:pPr>
              <w:ind w:firstLine="360"/>
              <w:rPr>
                <w:szCs w:val="21"/>
              </w:rPr>
            </w:pPr>
          </w:p>
        </w:tc>
      </w:tr>
      <w:tr>
        <w:tblPrEx>
          <w:tblCellMar>
            <w:top w:w="0" w:type="dxa"/>
            <w:left w:w="108" w:type="dxa"/>
            <w:bottom w:w="0" w:type="dxa"/>
            <w:right w:w="108" w:type="dxa"/>
          </w:tblCellMar>
        </w:tblPrEx>
        <w:trPr>
          <w:trHeight w:val="454" w:hRule="atLeast"/>
          <w:jc w:val="center"/>
        </w:trPr>
        <w:tc>
          <w:tcPr>
            <w:tcW w:w="1413" w:type="dxa"/>
            <w:vMerge w:val="continue"/>
            <w:tcBorders>
              <w:left w:val="single" w:color="auto" w:sz="4" w:space="0"/>
              <w:right w:val="single" w:color="auto" w:sz="4" w:space="0"/>
            </w:tcBorders>
            <w:shd w:val="clear" w:color="auto" w:fill="auto"/>
            <w:noWrap w:val="0"/>
            <w:vAlign w:val="center"/>
          </w:tcPr>
          <w:p>
            <w:pPr>
              <w:widowControl/>
              <w:ind w:firstLine="360"/>
              <w:rPr>
                <w:rFonts w:ascii="宋体" w:hAnsi="宋体" w:cs="宋体"/>
                <w:kern w:val="0"/>
                <w:szCs w:val="21"/>
              </w:rPr>
            </w:pPr>
          </w:p>
        </w:tc>
        <w:tc>
          <w:tcPr>
            <w:tcW w:w="2137" w:type="dxa"/>
            <w:tcBorders>
              <w:top w:val="single" w:color="auto" w:sz="4" w:space="0"/>
              <w:left w:val="single" w:color="auto" w:sz="4" w:space="0"/>
              <w:right w:val="single" w:color="auto" w:sz="4" w:space="0"/>
            </w:tcBorders>
            <w:shd w:val="clear" w:color="auto" w:fill="FFFFFF"/>
            <w:noWrap w:val="0"/>
            <w:vAlign w:val="center"/>
          </w:tcPr>
          <w:p>
            <w:pPr>
              <w:widowControl/>
              <w:jc w:val="center"/>
              <w:rPr>
                <w:rFonts w:ascii="宋体" w:hAnsi="宋体" w:cs="宋体"/>
                <w:kern w:val="0"/>
                <w:szCs w:val="21"/>
              </w:rPr>
            </w:pPr>
            <w:r>
              <w:rPr>
                <w:rFonts w:hint="eastAsia" w:ascii="宋体" w:hAnsi="宋体" w:cs="宋体"/>
                <w:kern w:val="0"/>
                <w:szCs w:val="21"/>
              </w:rPr>
              <w:t>机电一体化技术</w:t>
            </w:r>
          </w:p>
        </w:tc>
        <w:tc>
          <w:tcPr>
            <w:tcW w:w="2115" w:type="dxa"/>
            <w:vMerge w:val="continue"/>
            <w:tcBorders>
              <w:left w:val="nil"/>
              <w:right w:val="single" w:color="auto" w:sz="4" w:space="0"/>
            </w:tcBorders>
            <w:shd w:val="clear" w:color="auto" w:fill="FFFFFF"/>
            <w:noWrap w:val="0"/>
            <w:vAlign w:val="center"/>
          </w:tcPr>
          <w:p>
            <w:pPr>
              <w:widowControl/>
              <w:ind w:firstLine="720" w:firstLineChars="300"/>
              <w:rPr>
                <w:rFonts w:ascii="宋体" w:hAnsi="宋体" w:cs="宋体"/>
                <w:kern w:val="0"/>
                <w:szCs w:val="21"/>
              </w:rPr>
            </w:pPr>
          </w:p>
        </w:tc>
        <w:tc>
          <w:tcPr>
            <w:tcW w:w="1560" w:type="dxa"/>
            <w:vMerge w:val="continue"/>
            <w:tcBorders>
              <w:left w:val="single" w:color="auto" w:sz="4" w:space="0"/>
              <w:right w:val="single" w:color="auto" w:sz="4" w:space="0"/>
            </w:tcBorders>
            <w:shd w:val="clear" w:color="auto" w:fill="FFFFFF"/>
            <w:noWrap w:val="0"/>
            <w:vAlign w:val="top"/>
          </w:tcPr>
          <w:p>
            <w:pPr>
              <w:ind w:firstLine="360"/>
              <w:rPr>
                <w:szCs w:val="21"/>
              </w:rPr>
            </w:pPr>
          </w:p>
        </w:tc>
      </w:tr>
      <w:tr>
        <w:tblPrEx>
          <w:tblCellMar>
            <w:top w:w="0" w:type="dxa"/>
            <w:left w:w="108" w:type="dxa"/>
            <w:bottom w:w="0" w:type="dxa"/>
            <w:right w:w="108" w:type="dxa"/>
          </w:tblCellMar>
        </w:tblPrEx>
        <w:trPr>
          <w:trHeight w:val="454" w:hRule="atLeast"/>
          <w:jc w:val="center"/>
        </w:trPr>
        <w:tc>
          <w:tcPr>
            <w:tcW w:w="1413" w:type="dxa"/>
            <w:vMerge w:val="continue"/>
            <w:tcBorders>
              <w:left w:val="single" w:color="auto" w:sz="4" w:space="0"/>
              <w:right w:val="single" w:color="auto" w:sz="4" w:space="0"/>
            </w:tcBorders>
            <w:shd w:val="clear" w:color="auto" w:fill="auto"/>
            <w:noWrap w:val="0"/>
            <w:vAlign w:val="center"/>
          </w:tcPr>
          <w:p>
            <w:pPr>
              <w:ind w:firstLine="266" w:firstLineChars="111"/>
              <w:rPr>
                <w:rFonts w:ascii="宋体" w:hAnsi="宋体" w:cs="宋体"/>
                <w:kern w:val="0"/>
                <w:szCs w:val="21"/>
              </w:rPr>
            </w:pPr>
          </w:p>
        </w:tc>
        <w:tc>
          <w:tcPr>
            <w:tcW w:w="21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kern w:val="0"/>
                <w:szCs w:val="21"/>
              </w:rPr>
            </w:pPr>
            <w:r>
              <w:rPr>
                <w:rFonts w:hint="eastAsia" w:ascii="宋体" w:hAnsi="宋体" w:cs="宋体"/>
                <w:kern w:val="0"/>
                <w:szCs w:val="21"/>
              </w:rPr>
              <w:t>建设工程管理</w:t>
            </w:r>
          </w:p>
        </w:tc>
        <w:tc>
          <w:tcPr>
            <w:tcW w:w="2115" w:type="dxa"/>
            <w:vMerge w:val="continue"/>
            <w:tcBorders>
              <w:left w:val="nil"/>
              <w:right w:val="single" w:color="auto" w:sz="4" w:space="0"/>
            </w:tcBorders>
            <w:shd w:val="clear" w:color="auto" w:fill="FFFFFF"/>
            <w:noWrap w:val="0"/>
            <w:vAlign w:val="center"/>
          </w:tcPr>
          <w:p>
            <w:pPr>
              <w:widowControl/>
              <w:ind w:firstLine="720" w:firstLineChars="300"/>
              <w:rPr>
                <w:rFonts w:ascii="宋体" w:hAnsi="宋体" w:cs="宋体"/>
                <w:kern w:val="0"/>
                <w:szCs w:val="21"/>
              </w:rPr>
            </w:pPr>
          </w:p>
        </w:tc>
        <w:tc>
          <w:tcPr>
            <w:tcW w:w="1560" w:type="dxa"/>
            <w:vMerge w:val="continue"/>
            <w:tcBorders>
              <w:left w:val="single" w:color="auto" w:sz="4" w:space="0"/>
              <w:right w:val="single" w:color="auto" w:sz="4" w:space="0"/>
            </w:tcBorders>
            <w:shd w:val="clear" w:color="auto" w:fill="FFFFFF"/>
            <w:noWrap w:val="0"/>
            <w:vAlign w:val="top"/>
          </w:tcPr>
          <w:p>
            <w:pPr>
              <w:ind w:firstLine="360"/>
              <w:rPr>
                <w:szCs w:val="21"/>
              </w:rPr>
            </w:pPr>
          </w:p>
        </w:tc>
      </w:tr>
      <w:tr>
        <w:tblPrEx>
          <w:tblCellMar>
            <w:top w:w="0" w:type="dxa"/>
            <w:left w:w="108" w:type="dxa"/>
            <w:bottom w:w="0" w:type="dxa"/>
            <w:right w:w="108" w:type="dxa"/>
          </w:tblCellMar>
        </w:tblPrEx>
        <w:trPr>
          <w:trHeight w:val="454" w:hRule="atLeast"/>
          <w:jc w:val="center"/>
        </w:trPr>
        <w:tc>
          <w:tcPr>
            <w:tcW w:w="1413" w:type="dxa"/>
            <w:vMerge w:val="continue"/>
            <w:tcBorders>
              <w:left w:val="single" w:color="auto" w:sz="4" w:space="0"/>
              <w:right w:val="single" w:color="auto" w:sz="4" w:space="0"/>
            </w:tcBorders>
            <w:shd w:val="clear" w:color="auto" w:fill="auto"/>
            <w:noWrap w:val="0"/>
            <w:vAlign w:val="center"/>
          </w:tcPr>
          <w:p>
            <w:pPr>
              <w:ind w:firstLine="266" w:firstLineChars="111"/>
              <w:rPr>
                <w:rFonts w:ascii="宋体" w:hAnsi="宋体" w:cs="宋体"/>
                <w:kern w:val="0"/>
                <w:szCs w:val="21"/>
              </w:rPr>
            </w:pPr>
          </w:p>
        </w:tc>
        <w:tc>
          <w:tcPr>
            <w:tcW w:w="21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kern w:val="0"/>
                <w:szCs w:val="21"/>
              </w:rPr>
            </w:pPr>
            <w:r>
              <w:rPr>
                <w:rFonts w:hint="eastAsia" w:ascii="宋体" w:hAnsi="宋体" w:cs="宋体"/>
                <w:kern w:val="0"/>
                <w:szCs w:val="21"/>
              </w:rPr>
              <w:t>大数据技术</w:t>
            </w:r>
          </w:p>
        </w:tc>
        <w:tc>
          <w:tcPr>
            <w:tcW w:w="2115" w:type="dxa"/>
            <w:vMerge w:val="continue"/>
            <w:tcBorders>
              <w:left w:val="nil"/>
              <w:right w:val="single" w:color="auto" w:sz="4" w:space="0"/>
            </w:tcBorders>
            <w:shd w:val="clear" w:color="auto" w:fill="FFFFFF"/>
            <w:noWrap w:val="0"/>
            <w:vAlign w:val="center"/>
          </w:tcPr>
          <w:p>
            <w:pPr>
              <w:widowControl/>
              <w:ind w:firstLine="720" w:firstLineChars="300"/>
              <w:rPr>
                <w:rFonts w:ascii="宋体" w:hAnsi="宋体" w:cs="宋体"/>
                <w:kern w:val="0"/>
                <w:szCs w:val="21"/>
              </w:rPr>
            </w:pPr>
          </w:p>
        </w:tc>
        <w:tc>
          <w:tcPr>
            <w:tcW w:w="1560" w:type="dxa"/>
            <w:vMerge w:val="continue"/>
            <w:tcBorders>
              <w:left w:val="single" w:color="auto" w:sz="4" w:space="0"/>
              <w:right w:val="single" w:color="auto" w:sz="4" w:space="0"/>
            </w:tcBorders>
            <w:shd w:val="clear" w:color="auto" w:fill="FFFFFF"/>
            <w:noWrap w:val="0"/>
            <w:vAlign w:val="top"/>
          </w:tcPr>
          <w:p>
            <w:pPr>
              <w:ind w:firstLine="360"/>
              <w:rPr>
                <w:szCs w:val="21"/>
              </w:rPr>
            </w:pPr>
          </w:p>
        </w:tc>
      </w:tr>
      <w:tr>
        <w:tblPrEx>
          <w:tblCellMar>
            <w:top w:w="0" w:type="dxa"/>
            <w:left w:w="108" w:type="dxa"/>
            <w:bottom w:w="0" w:type="dxa"/>
            <w:right w:w="108" w:type="dxa"/>
          </w:tblCellMar>
        </w:tblPrEx>
        <w:trPr>
          <w:trHeight w:val="454" w:hRule="atLeast"/>
          <w:jc w:val="center"/>
        </w:trPr>
        <w:tc>
          <w:tcPr>
            <w:tcW w:w="1413" w:type="dxa"/>
            <w:vMerge w:val="continue"/>
            <w:tcBorders>
              <w:left w:val="single" w:color="auto" w:sz="4" w:space="0"/>
              <w:right w:val="single" w:color="auto" w:sz="4" w:space="0"/>
            </w:tcBorders>
            <w:shd w:val="clear" w:color="auto" w:fill="auto"/>
            <w:noWrap w:val="0"/>
            <w:vAlign w:val="center"/>
          </w:tcPr>
          <w:p>
            <w:pPr>
              <w:ind w:firstLine="266" w:firstLineChars="111"/>
              <w:rPr>
                <w:rFonts w:ascii="宋体" w:hAnsi="宋体" w:cs="宋体"/>
                <w:kern w:val="0"/>
                <w:szCs w:val="21"/>
              </w:rPr>
            </w:pPr>
          </w:p>
        </w:tc>
        <w:tc>
          <w:tcPr>
            <w:tcW w:w="21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kern w:val="0"/>
                <w:szCs w:val="21"/>
              </w:rPr>
            </w:pPr>
            <w:r>
              <w:rPr>
                <w:rFonts w:hint="eastAsia" w:ascii="宋体" w:hAnsi="宋体" w:cs="宋体"/>
                <w:kern w:val="0"/>
                <w:szCs w:val="21"/>
              </w:rPr>
              <w:t>行政管理</w:t>
            </w:r>
          </w:p>
        </w:tc>
        <w:tc>
          <w:tcPr>
            <w:tcW w:w="2115" w:type="dxa"/>
            <w:vMerge w:val="continue"/>
            <w:tcBorders>
              <w:left w:val="nil"/>
              <w:right w:val="single" w:color="auto" w:sz="4" w:space="0"/>
            </w:tcBorders>
            <w:shd w:val="clear" w:color="auto" w:fill="FFFFFF"/>
            <w:noWrap w:val="0"/>
            <w:vAlign w:val="center"/>
          </w:tcPr>
          <w:p>
            <w:pPr>
              <w:widowControl/>
              <w:ind w:firstLine="720" w:firstLineChars="300"/>
              <w:rPr>
                <w:rFonts w:ascii="宋体" w:hAnsi="宋体" w:cs="宋体"/>
                <w:kern w:val="0"/>
                <w:szCs w:val="21"/>
              </w:rPr>
            </w:pPr>
          </w:p>
        </w:tc>
        <w:tc>
          <w:tcPr>
            <w:tcW w:w="1560" w:type="dxa"/>
            <w:vMerge w:val="continue"/>
            <w:tcBorders>
              <w:left w:val="single" w:color="auto" w:sz="4" w:space="0"/>
              <w:right w:val="single" w:color="auto" w:sz="4" w:space="0"/>
            </w:tcBorders>
            <w:shd w:val="clear" w:color="auto" w:fill="FFFFFF"/>
            <w:noWrap w:val="0"/>
            <w:vAlign w:val="top"/>
          </w:tcPr>
          <w:p>
            <w:pPr>
              <w:ind w:firstLine="360"/>
              <w:rPr>
                <w:szCs w:val="21"/>
              </w:rPr>
            </w:pPr>
          </w:p>
        </w:tc>
      </w:tr>
      <w:tr>
        <w:tblPrEx>
          <w:tblCellMar>
            <w:top w:w="0" w:type="dxa"/>
            <w:left w:w="108" w:type="dxa"/>
            <w:bottom w:w="0" w:type="dxa"/>
            <w:right w:w="108" w:type="dxa"/>
          </w:tblCellMar>
        </w:tblPrEx>
        <w:trPr>
          <w:trHeight w:val="454" w:hRule="atLeast"/>
          <w:jc w:val="center"/>
        </w:trPr>
        <w:tc>
          <w:tcPr>
            <w:tcW w:w="1413" w:type="dxa"/>
            <w:vMerge w:val="continue"/>
            <w:tcBorders>
              <w:left w:val="single" w:color="auto" w:sz="4" w:space="0"/>
              <w:right w:val="single" w:color="auto" w:sz="4" w:space="0"/>
            </w:tcBorders>
            <w:shd w:val="clear" w:color="auto" w:fill="auto"/>
            <w:noWrap w:val="0"/>
            <w:vAlign w:val="center"/>
          </w:tcPr>
          <w:p>
            <w:pPr>
              <w:ind w:firstLine="266" w:firstLineChars="111"/>
              <w:rPr>
                <w:rFonts w:ascii="宋体" w:hAnsi="宋体" w:cs="宋体"/>
                <w:kern w:val="0"/>
                <w:szCs w:val="21"/>
              </w:rPr>
            </w:pPr>
          </w:p>
        </w:tc>
        <w:tc>
          <w:tcPr>
            <w:tcW w:w="21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kern w:val="0"/>
                <w:szCs w:val="21"/>
              </w:rPr>
            </w:pPr>
            <w:r>
              <w:rPr>
                <w:rFonts w:hint="eastAsia" w:ascii="宋体" w:hAnsi="宋体" w:cs="宋体"/>
                <w:kern w:val="0"/>
                <w:szCs w:val="21"/>
              </w:rPr>
              <w:t>应用化工技术</w:t>
            </w:r>
          </w:p>
        </w:tc>
        <w:tc>
          <w:tcPr>
            <w:tcW w:w="2115" w:type="dxa"/>
            <w:vMerge w:val="continue"/>
            <w:tcBorders>
              <w:left w:val="nil"/>
              <w:right w:val="single" w:color="auto" w:sz="4" w:space="0"/>
            </w:tcBorders>
            <w:shd w:val="clear" w:color="auto" w:fill="FFFFFF"/>
            <w:noWrap w:val="0"/>
            <w:vAlign w:val="center"/>
          </w:tcPr>
          <w:p>
            <w:pPr>
              <w:widowControl/>
              <w:ind w:firstLine="720" w:firstLineChars="300"/>
              <w:rPr>
                <w:rFonts w:ascii="宋体" w:hAnsi="宋体" w:cs="宋体"/>
                <w:kern w:val="0"/>
                <w:szCs w:val="21"/>
              </w:rPr>
            </w:pPr>
          </w:p>
        </w:tc>
        <w:tc>
          <w:tcPr>
            <w:tcW w:w="1560" w:type="dxa"/>
            <w:vMerge w:val="continue"/>
            <w:tcBorders>
              <w:left w:val="single" w:color="auto" w:sz="4" w:space="0"/>
              <w:right w:val="single" w:color="auto" w:sz="4" w:space="0"/>
            </w:tcBorders>
            <w:shd w:val="clear" w:color="auto" w:fill="FFFFFF"/>
            <w:noWrap w:val="0"/>
            <w:vAlign w:val="top"/>
          </w:tcPr>
          <w:p>
            <w:pPr>
              <w:ind w:firstLine="360"/>
              <w:rPr>
                <w:szCs w:val="21"/>
              </w:rPr>
            </w:pPr>
          </w:p>
        </w:tc>
      </w:tr>
      <w:tr>
        <w:tblPrEx>
          <w:tblCellMar>
            <w:top w:w="0" w:type="dxa"/>
            <w:left w:w="108" w:type="dxa"/>
            <w:bottom w:w="0" w:type="dxa"/>
            <w:right w:w="108" w:type="dxa"/>
          </w:tblCellMar>
        </w:tblPrEx>
        <w:trPr>
          <w:trHeight w:val="454" w:hRule="atLeast"/>
          <w:jc w:val="center"/>
        </w:trPr>
        <w:tc>
          <w:tcPr>
            <w:tcW w:w="1413" w:type="dxa"/>
            <w:vMerge w:val="continue"/>
            <w:tcBorders>
              <w:left w:val="single" w:color="auto" w:sz="4" w:space="0"/>
              <w:right w:val="single" w:color="auto" w:sz="4" w:space="0"/>
            </w:tcBorders>
            <w:shd w:val="clear" w:color="auto" w:fill="auto"/>
            <w:noWrap w:val="0"/>
            <w:vAlign w:val="center"/>
          </w:tcPr>
          <w:p>
            <w:pPr>
              <w:ind w:firstLine="266" w:firstLineChars="111"/>
              <w:rPr>
                <w:rFonts w:ascii="宋体" w:hAnsi="宋体" w:cs="宋体"/>
                <w:kern w:val="0"/>
                <w:szCs w:val="21"/>
              </w:rPr>
            </w:pPr>
          </w:p>
        </w:tc>
        <w:tc>
          <w:tcPr>
            <w:tcW w:w="21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kern w:val="0"/>
                <w:szCs w:val="21"/>
              </w:rPr>
            </w:pPr>
            <w:r>
              <w:rPr>
                <w:rFonts w:hint="eastAsia" w:ascii="宋体" w:hAnsi="宋体" w:cs="宋体"/>
                <w:kern w:val="0"/>
                <w:szCs w:val="21"/>
              </w:rPr>
              <w:t>学前教育</w:t>
            </w:r>
          </w:p>
        </w:tc>
        <w:tc>
          <w:tcPr>
            <w:tcW w:w="2115" w:type="dxa"/>
            <w:vMerge w:val="continue"/>
            <w:tcBorders>
              <w:left w:val="nil"/>
              <w:right w:val="single" w:color="auto" w:sz="4" w:space="0"/>
            </w:tcBorders>
            <w:shd w:val="clear" w:color="auto" w:fill="FFFFFF"/>
            <w:noWrap w:val="0"/>
            <w:vAlign w:val="center"/>
          </w:tcPr>
          <w:p>
            <w:pPr>
              <w:widowControl/>
              <w:ind w:firstLine="720" w:firstLineChars="300"/>
              <w:rPr>
                <w:rFonts w:ascii="宋体" w:hAnsi="宋体" w:cs="宋体"/>
                <w:kern w:val="0"/>
                <w:szCs w:val="21"/>
              </w:rPr>
            </w:pPr>
          </w:p>
        </w:tc>
        <w:tc>
          <w:tcPr>
            <w:tcW w:w="1560" w:type="dxa"/>
            <w:vMerge w:val="continue"/>
            <w:tcBorders>
              <w:left w:val="single" w:color="auto" w:sz="4" w:space="0"/>
              <w:right w:val="single" w:color="auto" w:sz="4" w:space="0"/>
            </w:tcBorders>
            <w:shd w:val="clear" w:color="auto" w:fill="FFFFFF"/>
            <w:noWrap w:val="0"/>
            <w:vAlign w:val="top"/>
          </w:tcPr>
          <w:p>
            <w:pPr>
              <w:ind w:firstLine="360"/>
              <w:rPr>
                <w:szCs w:val="21"/>
              </w:rPr>
            </w:pPr>
          </w:p>
        </w:tc>
      </w:tr>
      <w:tr>
        <w:tblPrEx>
          <w:tblCellMar>
            <w:top w:w="0" w:type="dxa"/>
            <w:left w:w="108" w:type="dxa"/>
            <w:bottom w:w="0" w:type="dxa"/>
            <w:right w:w="108" w:type="dxa"/>
          </w:tblCellMar>
        </w:tblPrEx>
        <w:trPr>
          <w:trHeight w:val="454" w:hRule="atLeast"/>
          <w:jc w:val="center"/>
        </w:trPr>
        <w:tc>
          <w:tcPr>
            <w:tcW w:w="1413" w:type="dxa"/>
            <w:vMerge w:val="continue"/>
            <w:tcBorders>
              <w:left w:val="single" w:color="auto" w:sz="4" w:space="0"/>
              <w:right w:val="single" w:color="auto" w:sz="4" w:space="0"/>
            </w:tcBorders>
            <w:shd w:val="clear" w:color="auto" w:fill="auto"/>
            <w:noWrap w:val="0"/>
            <w:vAlign w:val="center"/>
          </w:tcPr>
          <w:p>
            <w:pPr>
              <w:ind w:firstLine="266" w:firstLineChars="111"/>
              <w:rPr>
                <w:rFonts w:ascii="宋体" w:hAnsi="宋体" w:cs="宋体"/>
                <w:kern w:val="0"/>
                <w:szCs w:val="21"/>
              </w:rPr>
            </w:pPr>
          </w:p>
        </w:tc>
        <w:tc>
          <w:tcPr>
            <w:tcW w:w="21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宋体" w:hAnsi="宋体" w:cs="宋体"/>
                <w:kern w:val="0"/>
                <w:szCs w:val="21"/>
              </w:rPr>
            </w:pPr>
            <w:r>
              <w:rPr>
                <w:rFonts w:hint="eastAsia" w:ascii="宋体" w:hAnsi="宋体" w:cs="宋体"/>
                <w:kern w:val="0"/>
                <w:szCs w:val="21"/>
              </w:rPr>
              <w:t>移动互联应用技术</w:t>
            </w:r>
          </w:p>
        </w:tc>
        <w:tc>
          <w:tcPr>
            <w:tcW w:w="2115" w:type="dxa"/>
            <w:vMerge w:val="continue"/>
            <w:tcBorders>
              <w:left w:val="nil"/>
              <w:bottom w:val="single" w:color="auto" w:sz="4" w:space="0"/>
              <w:right w:val="single" w:color="auto" w:sz="4" w:space="0"/>
            </w:tcBorders>
            <w:shd w:val="clear" w:color="auto" w:fill="FFFFFF"/>
            <w:noWrap w:val="0"/>
            <w:vAlign w:val="center"/>
          </w:tcPr>
          <w:p>
            <w:pPr>
              <w:widowControl/>
              <w:ind w:firstLine="720" w:firstLineChars="300"/>
              <w:rPr>
                <w:rFonts w:ascii="宋体" w:hAnsi="宋体" w:cs="宋体"/>
                <w:kern w:val="0"/>
                <w:szCs w:val="21"/>
              </w:rPr>
            </w:pPr>
          </w:p>
        </w:tc>
        <w:tc>
          <w:tcPr>
            <w:tcW w:w="1560" w:type="dxa"/>
            <w:vMerge w:val="continue"/>
            <w:tcBorders>
              <w:left w:val="single" w:color="auto" w:sz="4" w:space="0"/>
              <w:right w:val="single" w:color="auto" w:sz="4" w:space="0"/>
            </w:tcBorders>
            <w:shd w:val="clear" w:color="auto" w:fill="FFFFFF"/>
            <w:noWrap w:val="0"/>
            <w:vAlign w:val="top"/>
          </w:tcPr>
          <w:p>
            <w:pPr>
              <w:ind w:firstLine="360"/>
              <w:rPr>
                <w:szCs w:val="21"/>
              </w:rPr>
            </w:pPr>
          </w:p>
        </w:tc>
      </w:tr>
      <w:tr>
        <w:tblPrEx>
          <w:tblCellMar>
            <w:top w:w="0" w:type="dxa"/>
            <w:left w:w="108" w:type="dxa"/>
            <w:bottom w:w="0" w:type="dxa"/>
            <w:right w:w="108" w:type="dxa"/>
          </w:tblCellMar>
        </w:tblPrEx>
        <w:trPr>
          <w:trHeight w:val="928" w:hRule="atLeast"/>
          <w:jc w:val="center"/>
        </w:trPr>
        <w:tc>
          <w:tcPr>
            <w:tcW w:w="1413" w:type="dxa"/>
            <w:vMerge w:val="continue"/>
            <w:tcBorders>
              <w:left w:val="single" w:color="auto" w:sz="4" w:space="0"/>
              <w:bottom w:val="single" w:color="auto" w:sz="4" w:space="0"/>
              <w:right w:val="single" w:color="auto" w:sz="4" w:space="0"/>
            </w:tcBorders>
            <w:shd w:val="clear" w:color="auto" w:fill="auto"/>
            <w:noWrap w:val="0"/>
            <w:vAlign w:val="center"/>
          </w:tcPr>
          <w:p>
            <w:pPr>
              <w:widowControl/>
              <w:ind w:firstLine="360"/>
              <w:rPr>
                <w:rFonts w:ascii="宋体" w:hAnsi="宋体" w:cs="宋体"/>
                <w:kern w:val="0"/>
                <w:szCs w:val="21"/>
              </w:rPr>
            </w:pPr>
          </w:p>
        </w:tc>
        <w:tc>
          <w:tcPr>
            <w:tcW w:w="21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行政管理</w:t>
            </w:r>
          </w:p>
          <w:p>
            <w:pPr>
              <w:widowControl/>
              <w:jc w:val="center"/>
              <w:rPr>
                <w:rFonts w:ascii="宋体" w:hAnsi="宋体" w:cs="宋体"/>
                <w:color w:val="000000"/>
                <w:kern w:val="0"/>
                <w:szCs w:val="21"/>
              </w:rPr>
            </w:pPr>
            <w:r>
              <w:rPr>
                <w:rFonts w:hint="eastAsia" w:ascii="宋体" w:hAnsi="宋体" w:cs="宋体"/>
                <w:color w:val="000000"/>
                <w:kern w:val="0"/>
                <w:szCs w:val="21"/>
              </w:rPr>
              <w:t>（乡村管理方向）</w:t>
            </w:r>
          </w:p>
        </w:tc>
        <w:tc>
          <w:tcPr>
            <w:tcW w:w="2115" w:type="dxa"/>
            <w:tcBorders>
              <w:top w:val="single" w:color="auto" w:sz="4" w:space="0"/>
              <w:left w:val="nil"/>
              <w:bottom w:val="single" w:color="auto" w:sz="4" w:space="0"/>
              <w:right w:val="single" w:color="auto" w:sz="4" w:space="0"/>
            </w:tcBorders>
            <w:shd w:val="clear" w:color="auto" w:fill="FFFFFF"/>
            <w:noWrap w:val="0"/>
            <w:vAlign w:val="center"/>
          </w:tcPr>
          <w:p>
            <w:pPr>
              <w:rPr>
                <w:rFonts w:ascii="宋体" w:hAnsi="宋体" w:cs="宋体"/>
                <w:kern w:val="0"/>
                <w:szCs w:val="21"/>
              </w:rPr>
            </w:pPr>
            <w:r>
              <w:rPr>
                <w:rFonts w:hint="eastAsia" w:ascii="宋体" w:hAnsi="宋体" w:cs="宋体"/>
                <w:color w:val="000000"/>
                <w:kern w:val="0"/>
                <w:szCs w:val="21"/>
              </w:rPr>
              <w:t>学费总计5</w:t>
            </w:r>
            <w:r>
              <w:rPr>
                <w:rFonts w:ascii="宋体" w:hAnsi="宋体" w:cs="宋体"/>
                <w:color w:val="000000"/>
                <w:kern w:val="0"/>
                <w:szCs w:val="21"/>
              </w:rPr>
              <w:t>320</w:t>
            </w:r>
            <w:r>
              <w:rPr>
                <w:rFonts w:hint="eastAsia" w:ascii="宋体" w:hAnsi="宋体" w:cs="宋体"/>
                <w:color w:val="000000"/>
                <w:kern w:val="0"/>
                <w:szCs w:val="21"/>
              </w:rPr>
              <w:t>元。 区总工会资助4</w:t>
            </w:r>
            <w:r>
              <w:rPr>
                <w:rFonts w:ascii="宋体" w:hAnsi="宋体" w:cs="宋体"/>
                <w:color w:val="000000"/>
                <w:kern w:val="0"/>
                <w:szCs w:val="21"/>
              </w:rPr>
              <w:t>000</w:t>
            </w:r>
            <w:r>
              <w:rPr>
                <w:rFonts w:hint="eastAsia" w:ascii="宋体" w:hAnsi="宋体" w:cs="宋体"/>
                <w:color w:val="000000"/>
                <w:kern w:val="0"/>
                <w:szCs w:val="21"/>
              </w:rPr>
              <w:t>元。</w:t>
            </w:r>
          </w:p>
        </w:tc>
        <w:tc>
          <w:tcPr>
            <w:tcW w:w="1560" w:type="dxa"/>
            <w:vMerge w:val="continue"/>
            <w:tcBorders>
              <w:left w:val="single" w:color="auto" w:sz="4" w:space="0"/>
              <w:bottom w:val="single" w:color="auto" w:sz="4" w:space="0"/>
              <w:right w:val="single" w:color="auto" w:sz="4" w:space="0"/>
            </w:tcBorders>
            <w:shd w:val="clear" w:color="auto" w:fill="FFFFFF"/>
            <w:noWrap w:val="0"/>
            <w:vAlign w:val="top"/>
          </w:tcPr>
          <w:p>
            <w:pPr>
              <w:ind w:firstLine="360"/>
              <w:rPr>
                <w:szCs w:val="21"/>
              </w:rPr>
            </w:pPr>
          </w:p>
        </w:tc>
      </w:tr>
    </w:tbl>
    <w:p>
      <w:pPr>
        <w:widowControl/>
        <w:spacing w:line="360" w:lineRule="auto"/>
        <w:ind w:firstLine="482" w:firstLineChars="200"/>
        <w:rPr>
          <w:rFonts w:hint="eastAsia" w:ascii="宋体" w:hAnsi="宋体" w:cs="宋体"/>
          <w:b/>
          <w:kern w:val="0"/>
          <w:szCs w:val="21"/>
        </w:rPr>
      </w:pPr>
    </w:p>
    <w:p>
      <w:pPr>
        <w:widowControl/>
        <w:spacing w:line="360" w:lineRule="auto"/>
        <w:ind w:firstLine="720" w:firstLineChars="400"/>
        <w:rPr>
          <w:rFonts w:ascii="宋体" w:hAnsi="宋体" w:cs="宋体"/>
          <w:kern w:val="0"/>
          <w:sz w:val="18"/>
          <w:szCs w:val="18"/>
        </w:rPr>
      </w:pPr>
      <w:r>
        <w:rPr>
          <w:rFonts w:hint="eastAsia" w:ascii="宋体" w:hAnsi="宋体" w:cs="宋体"/>
          <w:kern w:val="0"/>
          <w:sz w:val="18"/>
          <w:szCs w:val="18"/>
        </w:rPr>
        <w:t>备注：拟招专业为申报专业，开设专业以国家开放大学下达计划为准</w:t>
      </w:r>
      <w:r>
        <w:rPr>
          <w:rFonts w:hint="eastAsia" w:ascii="宋体" w:hAnsi="宋体" w:cs="宋体"/>
          <w:kern w:val="0"/>
          <w:szCs w:val="21"/>
        </w:rPr>
        <w:t>，</w:t>
      </w:r>
      <w:r>
        <w:rPr>
          <w:rFonts w:hint="eastAsia" w:ascii="宋体" w:hAnsi="宋体" w:cs="宋体"/>
          <w:kern w:val="0"/>
          <w:sz w:val="18"/>
          <w:szCs w:val="18"/>
        </w:rPr>
        <w:t>收费标准均按省物价局文件核定，若有调整，将按最新文件执行。</w:t>
      </w:r>
    </w:p>
    <w:p>
      <w:pPr>
        <w:widowControl/>
        <w:spacing w:line="360" w:lineRule="auto"/>
        <w:ind w:firstLine="482" w:firstLineChars="200"/>
        <w:rPr>
          <w:rFonts w:ascii="宋体" w:hAnsi="宋体" w:cs="宋体"/>
          <w:b/>
          <w:kern w:val="0"/>
          <w:szCs w:val="21"/>
        </w:rPr>
      </w:pPr>
    </w:p>
    <w:p>
      <w:pPr>
        <w:widowControl/>
        <w:spacing w:line="360" w:lineRule="auto"/>
        <w:rPr>
          <w:rFonts w:hint="eastAsia" w:ascii="宋体" w:hAnsi="宋体" w:cs="宋体"/>
          <w:b/>
          <w:kern w:val="0"/>
          <w:szCs w:val="21"/>
        </w:rPr>
      </w:pPr>
      <w:r>
        <w:rPr>
          <w:rFonts w:hint="eastAsia" w:ascii="宋体" w:hAnsi="宋体" w:cs="宋体"/>
          <w:b/>
          <w:kern w:val="0"/>
          <w:szCs w:val="21"/>
        </w:rPr>
        <w:t xml:space="preserve">五、学历 </w:t>
      </w:r>
    </w:p>
    <w:p>
      <w:pPr>
        <w:widowControl/>
        <w:spacing w:line="360" w:lineRule="auto"/>
        <w:ind w:firstLine="480" w:firstLineChars="200"/>
        <w:rPr>
          <w:rFonts w:hint="eastAsia" w:ascii="宋体" w:hAnsi="宋体" w:cs="宋体"/>
          <w:kern w:val="0"/>
          <w:szCs w:val="21"/>
        </w:rPr>
      </w:pPr>
      <w:r>
        <w:rPr>
          <w:rFonts w:hint="eastAsia" w:ascii="宋体" w:hAnsi="宋体" w:cs="宋体"/>
          <w:kern w:val="0"/>
          <w:szCs w:val="21"/>
        </w:rPr>
        <w:t xml:space="preserve">修满教学计划规定的全部课程，由国家开放大学颁发国家承认的经教育部电子注册的高等教育专科学历证书。开放教育专科毕业证书可在教育部唯一学历证书查询网站——中国高等教育学生信息网（www.chsi.com.cn）查询。毕业证书样本见附图（以实际所发为准） </w:t>
      </w:r>
    </w:p>
    <w:p>
      <w:pPr>
        <w:widowControl/>
        <w:spacing w:before="100" w:beforeAutospacing="1" w:after="100" w:afterAutospacing="1" w:line="375" w:lineRule="atLeast"/>
        <w:jc w:val="center"/>
        <w:rPr>
          <w:rFonts w:ascii="宋体" w:hAnsi="宋体"/>
          <w:b/>
          <w:szCs w:val="21"/>
        </w:rPr>
      </w:pPr>
      <w:r>
        <w:rPr>
          <w:rFonts w:ascii="宋体" w:hAnsi="宋体"/>
          <w:b/>
          <w:szCs w:val="21"/>
        </w:rPr>
        <w:drawing>
          <wp:inline distT="0" distB="0" distL="114300" distR="114300">
            <wp:extent cx="5386070" cy="3681730"/>
            <wp:effectExtent l="0" t="0" r="5080" b="13970"/>
            <wp:docPr id="1" name="图片 1" descr="新版国开毕业证书样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版国开毕业证书样例"/>
                    <pic:cNvPicPr>
                      <a:picLocks noChangeAspect="1"/>
                    </pic:cNvPicPr>
                  </pic:nvPicPr>
                  <pic:blipFill>
                    <a:blip r:embed="rId4"/>
                    <a:stretch>
                      <a:fillRect/>
                    </a:stretch>
                  </pic:blipFill>
                  <pic:spPr>
                    <a:xfrm>
                      <a:off x="0" y="0"/>
                      <a:ext cx="5386070" cy="3681730"/>
                    </a:xfrm>
                    <a:prstGeom prst="rect">
                      <a:avLst/>
                    </a:prstGeom>
                    <a:noFill/>
                    <a:ln>
                      <a:noFill/>
                    </a:ln>
                  </pic:spPr>
                </pic:pic>
              </a:graphicData>
            </a:graphic>
          </wp:inline>
        </w:drawing>
      </w:r>
    </w:p>
    <w:p>
      <w:pPr>
        <w:widowControl/>
        <w:spacing w:line="360" w:lineRule="auto"/>
        <w:ind w:firstLine="482" w:firstLineChars="200"/>
        <w:rPr>
          <w:rFonts w:hint="eastAsia" w:ascii="宋体" w:hAnsi="宋体" w:cs="宋体"/>
          <w:kern w:val="0"/>
          <w:szCs w:val="21"/>
        </w:rPr>
      </w:pPr>
      <w:r>
        <w:rPr>
          <w:rFonts w:hint="eastAsia" w:ascii="宋体" w:hAnsi="宋体"/>
          <w:b/>
          <w:szCs w:val="21"/>
        </w:rPr>
        <w:t>六、报名地址及联系方式</w:t>
      </w:r>
    </w:p>
    <w:p>
      <w:pPr>
        <w:widowControl/>
        <w:spacing w:line="360" w:lineRule="auto"/>
        <w:ind w:firstLine="480" w:firstLineChars="200"/>
        <w:rPr>
          <w:rFonts w:hint="eastAsia" w:ascii="宋体" w:hAnsi="宋体" w:cs="宋体"/>
          <w:kern w:val="0"/>
          <w:szCs w:val="21"/>
        </w:rPr>
      </w:pPr>
      <w:r>
        <w:rPr>
          <w:rFonts w:hint="eastAsia" w:ascii="宋体" w:hAnsi="宋体"/>
          <w:szCs w:val="21"/>
        </w:rPr>
        <w:t>学院地址：杭州</w:t>
      </w:r>
      <w:r>
        <w:rPr>
          <w:rFonts w:hint="eastAsia" w:ascii="宋体" w:hAnsi="宋体"/>
          <w:color w:val="000000"/>
          <w:szCs w:val="21"/>
        </w:rPr>
        <w:t>市萧山区南秀路1398号萧山电大1号行</w:t>
      </w:r>
      <w:r>
        <w:rPr>
          <w:rFonts w:hint="eastAsia" w:ascii="宋体" w:hAnsi="宋体"/>
          <w:szCs w:val="21"/>
        </w:rPr>
        <w:t>政楼1101招生报名处</w:t>
      </w:r>
    </w:p>
    <w:p>
      <w:pPr>
        <w:widowControl/>
        <w:spacing w:line="360" w:lineRule="auto"/>
        <w:ind w:firstLine="480" w:firstLineChars="200"/>
        <w:rPr>
          <w:rFonts w:hint="eastAsia" w:ascii="宋体" w:hAnsi="宋体" w:cs="宋体"/>
          <w:kern w:val="0"/>
          <w:szCs w:val="21"/>
        </w:rPr>
      </w:pPr>
      <w:r>
        <w:rPr>
          <w:rFonts w:hint="eastAsia" w:ascii="宋体" w:hAnsi="宋体"/>
          <w:szCs w:val="21"/>
        </w:rPr>
        <w:t>联系电话：黄洁锋，82663950，18058726708</w:t>
      </w:r>
    </w:p>
    <w:p>
      <w:pPr>
        <w:widowControl/>
        <w:spacing w:line="500" w:lineRule="exact"/>
        <w:ind w:firstLine="480" w:firstLineChars="200"/>
        <w:rPr>
          <w:rFonts w:hint="eastAsia" w:ascii="方正仿宋_GB2312" w:hAnsi="方正仿宋_GB2312" w:eastAsia="方正仿宋_GB2312" w:cs="方正仿宋_GB2312"/>
          <w:szCs w:val="21"/>
        </w:rPr>
      </w:pPr>
    </w:p>
    <w:p>
      <w:pPr>
        <w:widowControl/>
        <w:spacing w:line="500" w:lineRule="exact"/>
        <w:ind w:firstLine="480" w:firstLineChars="200"/>
        <w:rPr>
          <w:rFonts w:hint="eastAsia" w:ascii="方正仿宋_GB2312" w:hAnsi="方正仿宋_GB2312" w:eastAsia="方正仿宋_GB2312" w:cs="方正仿宋_GB2312"/>
          <w:szCs w:val="21"/>
        </w:rPr>
      </w:pPr>
    </w:p>
    <w:p>
      <w:pPr>
        <w:widowControl/>
        <w:spacing w:line="500" w:lineRule="exact"/>
        <w:ind w:firstLine="480" w:firstLineChars="200"/>
        <w:rPr>
          <w:rFonts w:hint="eastAsia" w:ascii="方正仿宋_GB2312" w:hAnsi="方正仿宋_GB2312" w:eastAsia="方正仿宋_GB2312" w:cs="方正仿宋_GB2312"/>
          <w:szCs w:val="21"/>
        </w:rPr>
      </w:pPr>
    </w:p>
    <w:p>
      <w:pPr>
        <w:widowControl/>
        <w:spacing w:line="500" w:lineRule="exact"/>
        <w:ind w:firstLine="480" w:firstLineChars="200"/>
        <w:rPr>
          <w:rFonts w:hint="eastAsia" w:ascii="方正仿宋_GB2312" w:hAnsi="方正仿宋_GB2312" w:eastAsia="方正仿宋_GB2312" w:cs="方正仿宋_GB2312"/>
          <w:szCs w:val="21"/>
        </w:r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仿宋_GB2312">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FiNzViZWQ3ZGM4OGY2ZWZhNGMzODA3NzhkZmU5NDIifQ=="/>
  </w:docVars>
  <w:rsids>
    <w:rsidRoot w:val="00000000"/>
    <w:rsid w:val="378D4A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2022-07-21T03:02:07Z</dcterms:created>
  <dc:creator>PC</dc:creator>
  <cp:lastModifiedBy>PC</cp:lastModifiedBy>
  <dcterms:modified xsi:type="dcterms:W3CDTF">2022-07-21T03:02:28Z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F371509E20634E87B5B6B34BF2734255</vt:lpwstr>
  </property>
</Properties>
</file>