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adjustRightInd/>
        <w:spacing w:line="360" w:lineRule="auto"/>
        <w:rPr>
          <w:rFonts w:ascii="仿宋" w:hAnsi="仿宋" w:eastAsia="仿宋" w:cs="仿宋"/>
          <w:b/>
          <w:sz w:val="44"/>
          <w:szCs w:val="44"/>
        </w:rPr>
      </w:pPr>
    </w:p>
    <w:p>
      <w:pPr>
        <w:adjustRightInd/>
        <w:spacing w:line="360" w:lineRule="auto"/>
        <w:jc w:val="center"/>
        <w:rPr>
          <w:rFonts w:ascii="仿宋" w:hAnsi="仿宋" w:eastAsia="仿宋" w:cs="仿宋"/>
          <w:b/>
          <w:spacing w:val="-28"/>
          <w:sz w:val="48"/>
          <w:szCs w:val="48"/>
        </w:rPr>
      </w:pPr>
      <w:r>
        <w:rPr>
          <w:rFonts w:hint="eastAsia" w:ascii="仿宋" w:hAnsi="仿宋" w:eastAsia="仿宋" w:cs="仿宋"/>
          <w:b/>
          <w:spacing w:val="-28"/>
          <w:sz w:val="48"/>
          <w:szCs w:val="48"/>
        </w:rPr>
        <w:t>萧山区总工会</w:t>
      </w:r>
    </w:p>
    <w:p>
      <w:pPr>
        <w:adjustRightInd/>
        <w:spacing w:line="360" w:lineRule="auto"/>
        <w:jc w:val="center"/>
        <w:rPr>
          <w:rFonts w:ascii="仿宋" w:hAnsi="仿宋" w:eastAsia="仿宋" w:cs="仿宋"/>
          <w:b/>
          <w:sz w:val="48"/>
          <w:szCs w:val="48"/>
        </w:rPr>
      </w:pPr>
      <w:r>
        <w:rPr>
          <w:rFonts w:hint="eastAsia" w:ascii="仿宋" w:hAnsi="仿宋" w:eastAsia="仿宋" w:cs="仿宋"/>
          <w:b/>
          <w:spacing w:val="-28"/>
          <w:sz w:val="48"/>
          <w:szCs w:val="48"/>
        </w:rPr>
        <w:t>工会疗休养服务库项目</w:t>
      </w:r>
    </w:p>
    <w:p>
      <w:pPr>
        <w:pStyle w:val="17"/>
        <w:rPr>
          <w:rFonts w:ascii="仿宋" w:hAnsi="仿宋" w:eastAsia="仿宋" w:cs="仿宋"/>
          <w:color w:val="auto"/>
        </w:rPr>
      </w:pPr>
    </w:p>
    <w:p>
      <w:pPr>
        <w:pStyle w:val="17"/>
        <w:rPr>
          <w:rFonts w:ascii="仿宋" w:hAnsi="仿宋" w:eastAsia="仿宋" w:cs="仿宋"/>
          <w:color w:val="auto"/>
        </w:rPr>
      </w:pPr>
    </w:p>
    <w:p>
      <w:pPr>
        <w:adjustRightInd/>
        <w:spacing w:line="360" w:lineRule="auto"/>
        <w:jc w:val="center"/>
        <w:rPr>
          <w:rFonts w:ascii="仿宋" w:hAnsi="仿宋" w:eastAsia="仿宋" w:cs="仿宋"/>
          <w:b/>
          <w:sz w:val="84"/>
          <w:szCs w:val="84"/>
        </w:rPr>
      </w:pPr>
      <w:r>
        <w:rPr>
          <w:rFonts w:hint="eastAsia" w:ascii="仿宋" w:hAnsi="仿宋" w:eastAsia="仿宋" w:cs="仿宋"/>
          <w:b/>
          <w:sz w:val="84"/>
          <w:szCs w:val="84"/>
        </w:rPr>
        <w:t>交易文件</w:t>
      </w:r>
    </w:p>
    <w:p>
      <w:pPr>
        <w:adjustRightInd/>
        <w:spacing w:line="360" w:lineRule="auto"/>
        <w:jc w:val="center"/>
        <w:rPr>
          <w:rFonts w:ascii="仿宋" w:hAnsi="仿宋" w:eastAsia="仿宋" w:cs="仿宋"/>
          <w:b/>
          <w:sz w:val="56"/>
          <w:szCs w:val="72"/>
        </w:rPr>
      </w:pPr>
      <w:r>
        <w:rPr>
          <w:rFonts w:hint="eastAsia" w:ascii="仿宋" w:hAnsi="仿宋" w:eastAsia="仿宋" w:cs="仿宋"/>
          <w:b/>
          <w:sz w:val="56"/>
          <w:szCs w:val="72"/>
        </w:rPr>
        <w:t>（电子交易标）</w:t>
      </w:r>
    </w:p>
    <w:p>
      <w:pPr>
        <w:snapToGrid w:val="0"/>
        <w:spacing w:line="360" w:lineRule="auto"/>
        <w:ind w:firstLine="3012" w:firstLineChars="1000"/>
        <w:rPr>
          <w:rFonts w:hint="default" w:ascii="仿宋" w:hAnsi="仿宋" w:eastAsia="仿宋" w:cs="仿宋"/>
          <w:b/>
          <w:bCs/>
          <w:sz w:val="30"/>
          <w:szCs w:val="30"/>
          <w:lang w:val="en-US" w:eastAsia="zh-CN"/>
        </w:rPr>
      </w:pPr>
      <w:r>
        <w:rPr>
          <w:rFonts w:hint="eastAsia" w:ascii="仿宋" w:hAnsi="仿宋" w:eastAsia="仿宋" w:cs="仿宋"/>
          <w:b/>
          <w:bCs/>
          <w:sz w:val="30"/>
          <w:szCs w:val="30"/>
        </w:rPr>
        <w:t>编号:</w:t>
      </w:r>
      <w:r>
        <w:rPr>
          <w:rFonts w:hint="eastAsia" w:ascii="仿宋" w:hAnsi="仿宋" w:eastAsia="仿宋" w:cs="仿宋"/>
          <w:b/>
          <w:bCs/>
          <w:sz w:val="30"/>
          <w:szCs w:val="30"/>
          <w:lang w:val="en-US" w:eastAsia="zh-CN"/>
        </w:rPr>
        <w:t>ZGH-GYGK-2023154</w:t>
      </w:r>
    </w:p>
    <w:p>
      <w:pPr>
        <w:adjustRightInd/>
        <w:spacing w:line="360" w:lineRule="auto"/>
        <w:jc w:val="center"/>
        <w:rPr>
          <w:rFonts w:ascii="仿宋" w:hAnsi="仿宋" w:eastAsia="仿宋" w:cs="仿宋"/>
          <w:b/>
          <w:sz w:val="56"/>
          <w:szCs w:val="72"/>
        </w:rPr>
      </w:pPr>
    </w:p>
    <w:p>
      <w:pPr>
        <w:spacing w:line="360" w:lineRule="auto"/>
        <w:jc w:val="center"/>
        <w:rPr>
          <w:rFonts w:ascii="仿宋" w:hAnsi="仿宋" w:eastAsia="仿宋" w:cs="仿宋"/>
          <w:b/>
          <w:sz w:val="24"/>
        </w:rPr>
      </w:pPr>
    </w:p>
    <w:p>
      <w:pPr>
        <w:pStyle w:val="6"/>
        <w:numPr>
          <w:ilvl w:val="2"/>
          <w:numId w:val="0"/>
        </w:numPr>
        <w:rPr>
          <w:rFonts w:ascii="仿宋" w:hAnsi="仿宋" w:eastAsia="仿宋" w:cs="仿宋"/>
        </w:rPr>
      </w:pPr>
    </w:p>
    <w:p>
      <w:pPr>
        <w:pStyle w:val="6"/>
        <w:numPr>
          <w:ilvl w:val="2"/>
          <w:numId w:val="0"/>
        </w:numPr>
        <w:rPr>
          <w:rFonts w:ascii="仿宋" w:hAnsi="仿宋" w:eastAsia="仿宋" w:cs="仿宋"/>
        </w:rPr>
      </w:pPr>
    </w:p>
    <w:p>
      <w:pPr>
        <w:rPr>
          <w:rFonts w:ascii="仿宋" w:hAnsi="仿宋" w:eastAsia="仿宋" w:cs="仿宋"/>
        </w:rPr>
      </w:pP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lang w:eastAsia="zh-CN"/>
        </w:rPr>
        <w:t>杭州市</w:t>
      </w:r>
      <w:r>
        <w:rPr>
          <w:rFonts w:hint="eastAsia" w:ascii="仿宋" w:hAnsi="仿宋" w:eastAsia="仿宋" w:cs="仿宋"/>
          <w:bCs/>
          <w:sz w:val="32"/>
          <w:szCs w:val="32"/>
        </w:rPr>
        <w:t>萧山区总工会</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浙江华域高宇项目管理有限公司</w:t>
      </w:r>
    </w:p>
    <w:p>
      <w:pPr>
        <w:snapToGrid w:val="0"/>
        <w:spacing w:line="360" w:lineRule="auto"/>
        <w:jc w:val="center"/>
        <w:rPr>
          <w:rFonts w:ascii="仿宋" w:hAnsi="仿宋" w:eastAsia="仿宋" w:cs="仿宋"/>
          <w:sz w:val="24"/>
        </w:rPr>
      </w:pPr>
      <w:r>
        <w:rPr>
          <w:rFonts w:hint="eastAsia" w:ascii="仿宋" w:hAnsi="仿宋" w:eastAsia="仿宋" w:cs="仿宋"/>
          <w:bCs/>
          <w:sz w:val="32"/>
          <w:szCs w:val="32"/>
        </w:rPr>
        <w:t>二〇二三年</w:t>
      </w:r>
      <w:r>
        <w:rPr>
          <w:rFonts w:hint="eastAsia" w:ascii="仿宋" w:hAnsi="仿宋" w:eastAsia="仿宋" w:cs="仿宋"/>
          <w:bCs/>
          <w:sz w:val="32"/>
          <w:szCs w:val="32"/>
          <w:lang w:eastAsia="zh-CN"/>
        </w:rPr>
        <w:t>三</w:t>
      </w:r>
      <w:r>
        <w:rPr>
          <w:rFonts w:hint="eastAsia" w:ascii="仿宋" w:hAnsi="仿宋" w:eastAsia="仿宋" w:cs="仿宋"/>
          <w:bCs/>
          <w:sz w:val="32"/>
          <w:szCs w:val="32"/>
        </w:rPr>
        <w:t>月</w:t>
      </w:r>
      <w:r>
        <w:rPr>
          <w:rFonts w:hint="eastAsia" w:ascii="仿宋" w:hAnsi="仿宋" w:eastAsia="仿宋" w:cs="仿宋"/>
          <w:bCs/>
          <w:sz w:val="32"/>
          <w:szCs w:val="32"/>
          <w:lang w:eastAsia="zh-CN"/>
        </w:rPr>
        <w:t>七</w:t>
      </w:r>
      <w:r>
        <w:rPr>
          <w:rFonts w:hint="eastAsia" w:ascii="仿宋" w:hAnsi="仿宋" w:eastAsia="仿宋" w:cs="仿宋"/>
          <w:bCs/>
          <w:sz w:val="32"/>
          <w:szCs w:val="32"/>
        </w:rPr>
        <w:t>日</w:t>
      </w:r>
      <w:r>
        <w:rPr>
          <w:rFonts w:hint="eastAsia" w:ascii="仿宋" w:hAnsi="仿宋" w:eastAsia="仿宋" w:cs="仿宋"/>
          <w:sz w:val="24"/>
        </w:rPr>
        <w:br w:type="page"/>
      </w:r>
      <w:bookmarkStart w:id="0" w:name="_Hlt67893495"/>
      <w:bookmarkEnd w:id="0"/>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bookmarkStart w:id="1" w:name="_Hlt91233176"/>
      <w:bookmarkEnd w:id="1"/>
      <w:bookmarkStart w:id="2" w:name="_Toc91899869"/>
      <w:r>
        <w:rPr>
          <w:rFonts w:hint="eastAsia" w:ascii="仿宋" w:hAnsi="仿宋" w:eastAsia="仿宋" w:cs="仿宋"/>
          <w:sz w:val="32"/>
          <w:szCs w:val="32"/>
        </w:rPr>
        <w:t>第一部分      交易公告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供应商须知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评审办法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pStyle w:val="4"/>
        <w:rPr>
          <w:rFonts w:cs="仿宋"/>
          <w:color w:val="auto"/>
        </w:rPr>
      </w:pPr>
      <w:bookmarkStart w:id="3" w:name="第一部分"/>
      <w:r>
        <w:rPr>
          <w:rFonts w:hint="eastAsia" w:cs="仿宋"/>
          <w:color w:val="auto"/>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cs="仿宋"/>
          <w:color w:val="auto"/>
        </w:rPr>
        <w:t>第一部分 交易公告</w:t>
      </w:r>
    </w:p>
    <w:p>
      <w:pPr>
        <w:pBdr>
          <w:top w:val="single" w:color="auto" w:sz="4" w:space="1"/>
          <w:left w:val="single" w:color="auto" w:sz="4" w:space="4"/>
          <w:bottom w:val="single" w:color="auto" w:sz="4" w:space="1"/>
          <w:right w:val="single" w:color="auto" w:sz="4" w:space="4"/>
        </w:pBdr>
        <w:ind w:left="840"/>
        <w:rPr>
          <w:rFonts w:ascii="仿宋" w:hAnsi="仿宋" w:eastAsia="仿宋" w:cs="仿宋"/>
          <w:sz w:val="24"/>
          <w:szCs w:val="28"/>
        </w:rPr>
      </w:pPr>
      <w:r>
        <w:rPr>
          <w:rFonts w:hint="eastAsia" w:ascii="仿宋" w:hAnsi="仿宋" w:eastAsia="仿宋" w:cs="仿宋"/>
          <w:sz w:val="24"/>
          <w:szCs w:val="28"/>
        </w:rPr>
        <w:t>项目概况：</w:t>
      </w:r>
    </w:p>
    <w:p>
      <w:pPr>
        <w:pBdr>
          <w:top w:val="single" w:color="auto" w:sz="4" w:space="1"/>
          <w:left w:val="single" w:color="auto" w:sz="4" w:space="4"/>
          <w:bottom w:val="single" w:color="auto" w:sz="4" w:space="1"/>
          <w:right w:val="single" w:color="auto" w:sz="4" w:space="4"/>
        </w:pBdr>
        <w:ind w:left="840" w:firstLine="480" w:firstLineChars="200"/>
        <w:rPr>
          <w:rFonts w:ascii="仿宋" w:hAnsi="仿宋" w:eastAsia="仿宋" w:cs="仿宋"/>
          <w:sz w:val="24"/>
          <w:szCs w:val="28"/>
        </w:rPr>
      </w:pPr>
      <w:r>
        <w:rPr>
          <w:rFonts w:hint="eastAsia" w:ascii="仿宋" w:hAnsi="仿宋" w:eastAsia="仿宋" w:cs="仿宋"/>
          <w:sz w:val="24"/>
        </w:rPr>
        <w:t>萧山区总工会工会疗休养服务库项目的潜在供应商应在政采云平台（</w:t>
      </w:r>
      <w:r>
        <w:fldChar w:fldCharType="begin"/>
      </w:r>
      <w:r>
        <w:instrText xml:space="preserve"> HYPERLINK "https://www.zcygov.cn/）获取（下载）招标文件，并于2021年" </w:instrText>
      </w:r>
      <w:r>
        <w:fldChar w:fldCharType="separate"/>
      </w:r>
      <w:r>
        <w:rPr>
          <w:rStyle w:val="69"/>
          <w:rFonts w:hint="eastAsia" w:ascii="仿宋" w:hAnsi="仿宋" w:eastAsia="仿宋" w:cs="仿宋"/>
          <w:color w:val="auto"/>
          <w:sz w:val="24"/>
          <w:szCs w:val="24"/>
        </w:rPr>
        <w:t>https://www.zcygov.cn/）获取（下载）交易文件，并于2023年</w:t>
      </w:r>
      <w:r>
        <w:rPr>
          <w:rStyle w:val="69"/>
          <w:rFonts w:hint="eastAsia" w:ascii="仿宋" w:hAnsi="仿宋" w:eastAsia="仿宋" w:cs="仿宋"/>
          <w:color w:val="auto"/>
          <w:sz w:val="24"/>
          <w:szCs w:val="24"/>
        </w:rPr>
        <w:fldChar w:fldCharType="end"/>
      </w:r>
      <w:r>
        <w:rPr>
          <w:rStyle w:val="69"/>
          <w:rFonts w:hint="eastAsia" w:ascii="仿宋" w:hAnsi="仿宋" w:eastAsia="仿宋" w:cs="仿宋"/>
          <w:color w:val="auto"/>
          <w:sz w:val="24"/>
          <w:szCs w:val="24"/>
          <w:lang w:val="en-US" w:eastAsia="zh-CN"/>
        </w:rPr>
        <w:t>03</w:t>
      </w:r>
      <w:r>
        <w:rPr>
          <w:rFonts w:hint="eastAsia" w:ascii="仿宋" w:hAnsi="仿宋" w:eastAsia="仿宋" w:cs="仿宋"/>
          <w:sz w:val="24"/>
          <w:u w:val="single"/>
        </w:rPr>
        <w:t>月</w:t>
      </w:r>
      <w:r>
        <w:rPr>
          <w:rFonts w:hint="eastAsia" w:ascii="仿宋" w:hAnsi="仿宋" w:eastAsia="仿宋" w:cs="仿宋"/>
          <w:sz w:val="24"/>
          <w:u w:val="single"/>
          <w:lang w:val="en-US" w:eastAsia="zh-CN"/>
        </w:rPr>
        <w:t>21</w:t>
      </w:r>
      <w:r>
        <w:rPr>
          <w:rFonts w:hint="eastAsia" w:ascii="仿宋" w:hAnsi="仿宋" w:eastAsia="仿宋" w:cs="仿宋"/>
          <w:sz w:val="24"/>
          <w:u w:val="single"/>
        </w:rPr>
        <w:t>日09</w:t>
      </w:r>
      <w:r>
        <w:rPr>
          <w:rFonts w:hint="eastAsia" w:ascii="仿宋" w:hAnsi="仿宋" w:eastAsia="仿宋" w:cs="仿宋"/>
          <w:bCs/>
          <w:sz w:val="24"/>
          <w:u w:val="single"/>
        </w:rPr>
        <w:t>点30分00秒</w:t>
      </w:r>
      <w:r>
        <w:rPr>
          <w:rFonts w:hint="eastAsia" w:ascii="仿宋" w:hAnsi="仿宋" w:eastAsia="仿宋" w:cs="仿宋"/>
          <w:bCs/>
          <w:sz w:val="24"/>
        </w:rPr>
        <w:t>（北京时间）前</w:t>
      </w:r>
      <w:r>
        <w:rPr>
          <w:rFonts w:hint="eastAsia" w:ascii="仿宋" w:hAnsi="仿宋" w:eastAsia="仿宋" w:cs="仿宋"/>
          <w:sz w:val="24"/>
        </w:rPr>
        <w:t>递交（上传）投标文件</w:t>
      </w:r>
    </w:p>
    <w:p>
      <w:pPr>
        <w:pStyle w:val="5"/>
        <w:numPr>
          <w:ilvl w:val="0"/>
          <w:numId w:val="0"/>
        </w:numPr>
        <w:rPr>
          <w:rFonts w:ascii="仿宋" w:eastAsia="仿宋" w:cs="仿宋"/>
          <w:sz w:val="24"/>
          <w:szCs w:val="28"/>
        </w:rPr>
      </w:pPr>
      <w:bookmarkStart w:id="11" w:name="_Toc28359079"/>
      <w:bookmarkStart w:id="12" w:name="_Toc35393621"/>
      <w:bookmarkStart w:id="13" w:name="_Toc35393790"/>
      <w:bookmarkStart w:id="14" w:name="_Toc28359002"/>
      <w:bookmarkStart w:id="15" w:name="_Hlk24379207"/>
      <w:r>
        <w:rPr>
          <w:rFonts w:hint="eastAsia" w:ascii="仿宋" w:eastAsia="仿宋" w:cs="仿宋"/>
          <w:sz w:val="24"/>
          <w:szCs w:val="28"/>
        </w:rPr>
        <w:t>一、项目基本情况</w:t>
      </w:r>
      <w:bookmarkEnd w:id="11"/>
      <w:bookmarkEnd w:id="12"/>
      <w:bookmarkEnd w:id="13"/>
      <w:bookmarkEnd w:id="14"/>
    </w:p>
    <w:p>
      <w:pPr>
        <w:spacing w:line="360" w:lineRule="auto"/>
        <w:ind w:left="420" w:leftChars="200"/>
        <w:jc w:val="left"/>
        <w:rPr>
          <w:rFonts w:ascii="仿宋" w:hAnsi="仿宋" w:eastAsia="仿宋" w:cs="仿宋"/>
          <w:sz w:val="24"/>
          <w:szCs w:val="28"/>
        </w:rPr>
      </w:pPr>
      <w:r>
        <w:rPr>
          <w:rFonts w:hint="eastAsia" w:ascii="仿宋" w:hAnsi="仿宋" w:eastAsia="仿宋" w:cs="仿宋"/>
          <w:sz w:val="24"/>
          <w:szCs w:val="28"/>
        </w:rPr>
        <w:t>项目编号：ZGH-GYGK-2023154</w:t>
      </w:r>
    </w:p>
    <w:p>
      <w:pPr>
        <w:spacing w:line="360" w:lineRule="auto"/>
        <w:ind w:left="1620" w:leftChars="200" w:hanging="1200" w:hangingChars="500"/>
        <w:jc w:val="left"/>
        <w:rPr>
          <w:rFonts w:ascii="仿宋" w:hAnsi="仿宋" w:eastAsia="仿宋" w:cs="仿宋"/>
          <w:sz w:val="24"/>
        </w:rPr>
      </w:pPr>
      <w:r>
        <w:rPr>
          <w:rFonts w:hint="eastAsia" w:ascii="仿宋" w:hAnsi="仿宋" w:eastAsia="仿宋" w:cs="仿宋"/>
          <w:sz w:val="24"/>
          <w:szCs w:val="28"/>
        </w:rPr>
        <w:t>项目名称：</w:t>
      </w:r>
      <w:bookmarkEnd w:id="15"/>
      <w:r>
        <w:rPr>
          <w:rFonts w:hint="eastAsia" w:ascii="仿宋" w:hAnsi="仿宋" w:eastAsia="仿宋" w:cs="仿宋"/>
          <w:sz w:val="24"/>
        </w:rPr>
        <w:t>萧山区总工会工会疗休养服务库项目</w:t>
      </w:r>
    </w:p>
    <w:p>
      <w:pPr>
        <w:pStyle w:val="17"/>
        <w:spacing w:line="360" w:lineRule="auto"/>
        <w:ind w:firstLine="480"/>
        <w:rPr>
          <w:rFonts w:ascii="仿宋" w:hAnsi="仿宋" w:eastAsia="仿宋" w:cs="仿宋"/>
          <w:color w:val="auto"/>
          <w:sz w:val="24"/>
        </w:rPr>
      </w:pPr>
      <w:r>
        <w:rPr>
          <w:rFonts w:hint="eastAsia" w:ascii="仿宋" w:hAnsi="仿宋" w:eastAsia="仿宋" w:cs="仿宋"/>
          <w:color w:val="auto"/>
          <w:sz w:val="24"/>
        </w:rPr>
        <w:t>数量：5家</w:t>
      </w:r>
    </w:p>
    <w:p>
      <w:pPr>
        <w:pStyle w:val="17"/>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预算金额：150万元 </w:t>
      </w:r>
    </w:p>
    <w:p>
      <w:pPr>
        <w:pStyle w:val="17"/>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最高限价：150万元  </w:t>
      </w:r>
    </w:p>
    <w:p>
      <w:pPr>
        <w:pStyle w:val="17"/>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简要规格描述或项目基本概况介绍、用途：详见交易需求</w:t>
      </w:r>
    </w:p>
    <w:p>
      <w:pPr>
        <w:pStyle w:val="17"/>
        <w:spacing w:line="360" w:lineRule="auto"/>
        <w:ind w:firstLine="480"/>
        <w:rPr>
          <w:rFonts w:ascii="仿宋" w:hAnsi="仿宋" w:eastAsia="仿宋" w:cs="仿宋"/>
          <w:color w:val="auto"/>
          <w:sz w:val="24"/>
        </w:rPr>
      </w:pPr>
      <w:r>
        <w:rPr>
          <w:rFonts w:hint="eastAsia" w:ascii="仿宋" w:hAnsi="仿宋" w:eastAsia="仿宋" w:cs="仿宋"/>
          <w:color w:val="auto"/>
          <w:sz w:val="24"/>
        </w:rPr>
        <w:t>备注：/</w:t>
      </w:r>
    </w:p>
    <w:p>
      <w:pPr>
        <w:pStyle w:val="17"/>
        <w:spacing w:line="360" w:lineRule="auto"/>
        <w:ind w:firstLine="480"/>
        <w:rPr>
          <w:rFonts w:ascii="仿宋" w:hAnsi="仿宋" w:eastAsia="仿宋" w:cs="仿宋"/>
          <w:color w:val="auto"/>
          <w:sz w:val="24"/>
        </w:rPr>
      </w:pPr>
      <w:r>
        <w:rPr>
          <w:rFonts w:hint="eastAsia" w:ascii="仿宋" w:hAnsi="仿宋" w:eastAsia="仿宋" w:cs="仿宋"/>
          <w:b/>
          <w:bCs/>
          <w:color w:val="auto"/>
          <w:sz w:val="24"/>
        </w:rPr>
        <w:t>合同履约期限：</w:t>
      </w:r>
      <w:r>
        <w:rPr>
          <w:rFonts w:hint="eastAsia" w:ascii="仿宋" w:hAnsi="仿宋" w:eastAsia="仿宋" w:cs="仿宋"/>
          <w:color w:val="auto"/>
          <w:sz w:val="24"/>
        </w:rPr>
        <w:t>详见交易需求</w:t>
      </w:r>
    </w:p>
    <w:p>
      <w:pPr>
        <w:spacing w:line="360" w:lineRule="auto"/>
        <w:ind w:firstLine="480"/>
        <w:rPr>
          <w:rFonts w:ascii="仿宋" w:hAnsi="仿宋" w:eastAsia="仿宋" w:cs="仿宋"/>
          <w:b/>
          <w:sz w:val="24"/>
        </w:rPr>
      </w:pPr>
      <w:r>
        <w:rPr>
          <w:rFonts w:hint="eastAsia" w:ascii="仿宋" w:hAnsi="仿宋" w:eastAsia="仿宋" w:cs="仿宋"/>
          <w:b/>
          <w:sz w:val="24"/>
        </w:rPr>
        <w:t xml:space="preserve">本项目是否接受联合体投标：（ ）是；（√）否 </w:t>
      </w:r>
    </w:p>
    <w:p>
      <w:pPr>
        <w:pStyle w:val="5"/>
        <w:numPr>
          <w:ilvl w:val="0"/>
          <w:numId w:val="0"/>
        </w:numPr>
        <w:rPr>
          <w:rFonts w:ascii="仿宋" w:eastAsia="仿宋" w:cs="仿宋"/>
          <w:sz w:val="24"/>
          <w:szCs w:val="28"/>
        </w:rPr>
      </w:pPr>
      <w:r>
        <w:rPr>
          <w:rFonts w:hint="eastAsia" w:ascii="仿宋" w:eastAsia="仿宋" w:cs="仿宋"/>
          <w:sz w:val="24"/>
          <w:szCs w:val="28"/>
        </w:rPr>
        <w:t>二、</w:t>
      </w:r>
      <w:bookmarkStart w:id="16" w:name="_Toc28359080"/>
      <w:bookmarkStart w:id="17" w:name="_Toc35393622"/>
      <w:bookmarkStart w:id="18" w:name="_Toc28359003"/>
      <w:bookmarkStart w:id="19" w:name="_Toc35393791"/>
      <w:r>
        <w:rPr>
          <w:rFonts w:hint="eastAsia" w:ascii="仿宋" w:eastAsia="仿宋" w:cs="仿宋"/>
          <w:sz w:val="24"/>
          <w:szCs w:val="28"/>
        </w:rPr>
        <w:t>申请人的资格要求：</w:t>
      </w:r>
      <w:bookmarkEnd w:id="16"/>
      <w:bookmarkEnd w:id="17"/>
      <w:bookmarkEnd w:id="18"/>
      <w:bookmarkEnd w:id="19"/>
    </w:p>
    <w:p>
      <w:pPr>
        <w:spacing w:line="360" w:lineRule="auto"/>
        <w:ind w:firstLine="480" w:firstLineChars="200"/>
        <w:rPr>
          <w:rFonts w:ascii="仿宋" w:hAnsi="仿宋" w:eastAsia="仿宋" w:cs="仿宋"/>
          <w:sz w:val="24"/>
        </w:rPr>
      </w:pPr>
      <w:bookmarkStart w:id="20" w:name="_Toc28359081"/>
      <w:bookmarkStart w:id="21" w:name="_Toc28359004"/>
      <w:bookmarkStart w:id="22" w:name="_Toc35393623"/>
      <w:bookmarkStart w:id="23" w:name="_Toc35393792"/>
      <w:r>
        <w:rPr>
          <w:rFonts w:hint="eastAsia" w:ascii="仿宋" w:hAnsi="仿宋" w:eastAsia="仿宋" w:cs="仿宋"/>
          <w:sz w:val="24"/>
        </w:rPr>
        <w:t>1.满足《中华人民共和国政府采购法》第二十二条规定；</w:t>
      </w:r>
    </w:p>
    <w:p>
      <w:pPr>
        <w:pStyle w:val="5"/>
        <w:numPr>
          <w:ilvl w:val="0"/>
          <w:numId w:val="0"/>
        </w:numPr>
        <w:ind w:left="432"/>
        <w:rPr>
          <w:rFonts w:ascii="仿宋" w:eastAsia="仿宋" w:cs="仿宋"/>
          <w:b w:val="0"/>
          <w:bCs w:val="0"/>
          <w:sz w:val="24"/>
          <w:szCs w:val="24"/>
          <w:lang w:val="en-US"/>
        </w:rPr>
      </w:pPr>
      <w:r>
        <w:rPr>
          <w:rFonts w:hint="eastAsia" w:ascii="仿宋" w:eastAsia="仿宋" w:cs="仿宋"/>
          <w:b w:val="0"/>
          <w:bCs w:val="0"/>
          <w:sz w:val="24"/>
          <w:szCs w:val="24"/>
          <w:lang w:val="en-US"/>
        </w:rPr>
        <w:t>2.单位负责人为同一人或者存在直接控股、管理关系的不同供应商，不得参加同一</w:t>
      </w:r>
    </w:p>
    <w:p>
      <w:pPr>
        <w:pStyle w:val="5"/>
        <w:numPr>
          <w:ilvl w:val="0"/>
          <w:numId w:val="0"/>
        </w:numPr>
        <w:rPr>
          <w:rFonts w:ascii="仿宋" w:eastAsia="仿宋" w:cs="仿宋"/>
          <w:b w:val="0"/>
          <w:bCs w:val="0"/>
          <w:sz w:val="24"/>
          <w:szCs w:val="24"/>
          <w:lang w:val="en-US"/>
        </w:rPr>
      </w:pPr>
      <w:r>
        <w:rPr>
          <w:rFonts w:hint="eastAsia" w:ascii="仿宋" w:eastAsia="仿宋" w:cs="仿宋"/>
          <w:b w:val="0"/>
          <w:bCs w:val="0"/>
          <w:sz w:val="24"/>
          <w:szCs w:val="24"/>
          <w:lang w:val="en-US"/>
        </w:rPr>
        <w:t>合同项下的政府采购活动。</w:t>
      </w:r>
    </w:p>
    <w:p>
      <w:pPr>
        <w:spacing w:line="360" w:lineRule="auto"/>
        <w:ind w:firstLine="480" w:firstLineChars="200"/>
        <w:rPr>
          <w:rFonts w:ascii="仿宋" w:hAnsi="仿宋" w:eastAsia="仿宋" w:cs="仿宋"/>
          <w:sz w:val="24"/>
        </w:rPr>
      </w:pPr>
      <w:r>
        <w:rPr>
          <w:rFonts w:hint="eastAsia" w:ascii="仿宋" w:hAnsi="仿宋" w:eastAsia="仿宋" w:cs="仿宋"/>
          <w:sz w:val="24"/>
        </w:rPr>
        <w:t>3.未被“信用中国”（www.creditchina.gov.cn）、中国政府采购网（www.ccgp.gov.cn）列入失信被执行人、重大税收违法案件当事人名单、政府采购严重违法失信行为记录名单。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仿宋"/>
          <w:sz w:val="24"/>
        </w:rPr>
      </w:pPr>
      <w:r>
        <w:rPr>
          <w:rFonts w:hint="eastAsia" w:ascii="仿宋" w:hAnsi="仿宋" w:eastAsia="仿宋" w:cs="仿宋"/>
          <w:sz w:val="24"/>
        </w:rPr>
        <w:t>4.落实政府采购政策需满足的资格要求：（√）无；</w:t>
      </w:r>
    </w:p>
    <w:p>
      <w:pPr>
        <w:spacing w:line="360" w:lineRule="auto"/>
        <w:ind w:firstLine="480" w:firstLineChars="200"/>
        <w:rPr>
          <w:rFonts w:ascii="仿宋" w:hAnsi="仿宋" w:eastAsia="仿宋" w:cs="仿宋"/>
          <w:sz w:val="24"/>
        </w:rPr>
      </w:pPr>
      <w:r>
        <w:rPr>
          <w:rFonts w:hint="eastAsia" w:ascii="仿宋" w:hAnsi="仿宋" w:eastAsia="仿宋" w:cs="仿宋"/>
          <w:sz w:val="24"/>
        </w:rPr>
        <w:t>5.本项目的特定资格要求：</w:t>
      </w:r>
    </w:p>
    <w:p>
      <w:pPr>
        <w:spacing w:line="360" w:lineRule="auto"/>
        <w:ind w:firstLine="480" w:firstLineChars="200"/>
        <w:rPr>
          <w:rFonts w:ascii="仿宋" w:hAnsi="仿宋" w:eastAsia="仿宋" w:cs="仿宋"/>
          <w:sz w:val="24"/>
        </w:rPr>
      </w:pPr>
      <w:r>
        <w:rPr>
          <w:rFonts w:hint="eastAsia" w:ascii="仿宋" w:hAnsi="仿宋" w:eastAsia="仿宋" w:cs="仿宋"/>
          <w:sz w:val="24"/>
        </w:rPr>
        <w:t>（√）无；</w:t>
      </w:r>
    </w:p>
    <w:p>
      <w:pPr>
        <w:spacing w:line="360" w:lineRule="auto"/>
        <w:ind w:firstLine="480" w:firstLineChars="200"/>
        <w:rPr>
          <w:rFonts w:ascii="仿宋" w:hAnsi="仿宋" w:eastAsia="仿宋" w:cs="仿宋"/>
          <w:sz w:val="24"/>
        </w:rPr>
      </w:pPr>
      <w:r>
        <w:rPr>
          <w:rFonts w:hint="eastAsia" w:ascii="仿宋" w:hAnsi="仿宋" w:eastAsia="仿宋" w:cs="仿宋"/>
          <w:sz w:val="24"/>
        </w:rPr>
        <w:t>（）专门面向中小企业</w:t>
      </w:r>
    </w:p>
    <w:p>
      <w:pPr>
        <w:spacing w:line="360" w:lineRule="auto"/>
        <w:ind w:firstLine="480" w:firstLineChars="200"/>
        <w:rPr>
          <w:rFonts w:ascii="仿宋" w:hAnsi="仿宋" w:eastAsia="仿宋" w:cs="仿宋"/>
          <w:sz w:val="24"/>
        </w:rPr>
      </w:pPr>
      <w:r>
        <w:rPr>
          <w:rFonts w:hint="eastAsia" w:ascii="仿宋" w:hAnsi="仿宋" w:eastAsia="仿宋" w:cs="仿宋"/>
          <w:sz w:val="24"/>
        </w:rPr>
        <w:t>（）货物全部由符合政策要求的中小企业制造，提供中小企业声明函；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 ）货物全部由符合政策要求的小微企业制造，提供中小企业声明函；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 ）服务全部由符合政策要求的中小企业承接，提供中小企业声明函；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 ）服务全部由符合政策要求的小微企业承接，提供中小企业声明函；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ascii="仿宋" w:hAnsi="仿宋" w:eastAsia="仿宋" w:cs="仿宋"/>
          <w:sz w:val="24"/>
        </w:rPr>
      </w:pPr>
      <w:r>
        <w:rPr>
          <w:rFonts w:hint="eastAsia" w:ascii="仿宋" w:hAnsi="仿宋" w:eastAsia="仿宋" w:cs="仿宋"/>
          <w:sz w:val="24"/>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pStyle w:val="5"/>
        <w:numPr>
          <w:ilvl w:val="0"/>
          <w:numId w:val="0"/>
        </w:numPr>
        <w:rPr>
          <w:rFonts w:ascii="仿宋" w:eastAsia="仿宋" w:cs="仿宋"/>
          <w:sz w:val="24"/>
          <w:szCs w:val="28"/>
        </w:rPr>
      </w:pPr>
      <w:r>
        <w:rPr>
          <w:rFonts w:hint="eastAsia" w:ascii="仿宋" w:eastAsia="仿宋" w:cs="仿宋"/>
          <w:sz w:val="24"/>
          <w:szCs w:val="28"/>
        </w:rPr>
        <w:t>三、获取交易文件</w:t>
      </w:r>
      <w:bookmarkEnd w:id="20"/>
      <w:bookmarkEnd w:id="21"/>
      <w:bookmarkEnd w:id="22"/>
      <w:bookmarkEnd w:id="23"/>
    </w:p>
    <w:p>
      <w:pPr>
        <w:spacing w:line="360" w:lineRule="auto"/>
        <w:ind w:firstLine="482" w:firstLineChars="200"/>
        <w:rPr>
          <w:rFonts w:ascii="仿宋" w:hAnsi="仿宋" w:eastAsia="仿宋" w:cs="仿宋"/>
          <w:sz w:val="24"/>
        </w:rPr>
      </w:pPr>
      <w:bookmarkStart w:id="24" w:name="_Toc28359005"/>
      <w:bookmarkStart w:id="25" w:name="_Toc28359082"/>
      <w:bookmarkStart w:id="26" w:name="_Toc35393793"/>
      <w:bookmarkStart w:id="27" w:name="_Toc35393624"/>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2023年</w:t>
      </w:r>
      <w:r>
        <w:rPr>
          <w:rFonts w:hint="eastAsia" w:ascii="仿宋" w:hAnsi="仿宋" w:eastAsia="仿宋" w:cs="仿宋"/>
          <w:sz w:val="24"/>
          <w:u w:val="single"/>
          <w:lang w:val="en-US" w:eastAsia="zh-CN"/>
        </w:rPr>
        <w:t>03</w:t>
      </w:r>
      <w:r>
        <w:rPr>
          <w:rFonts w:hint="eastAsia" w:ascii="仿宋" w:hAnsi="仿宋" w:eastAsia="仿宋" w:cs="仿宋"/>
          <w:sz w:val="24"/>
          <w:u w:val="single"/>
        </w:rPr>
        <w:t>月</w:t>
      </w:r>
      <w:r>
        <w:rPr>
          <w:rFonts w:hint="eastAsia" w:ascii="仿宋" w:hAnsi="仿宋" w:eastAsia="仿宋" w:cs="仿宋"/>
          <w:sz w:val="24"/>
          <w:u w:val="single"/>
          <w:lang w:val="en-US" w:eastAsia="zh-CN"/>
        </w:rPr>
        <w:t>14</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pStyle w:val="5"/>
        <w:numPr>
          <w:ilvl w:val="0"/>
          <w:numId w:val="0"/>
        </w:numPr>
        <w:rPr>
          <w:rFonts w:ascii="仿宋" w:eastAsia="仿宋" w:cs="仿宋"/>
          <w:sz w:val="24"/>
          <w:szCs w:val="28"/>
        </w:rPr>
      </w:pPr>
      <w:r>
        <w:rPr>
          <w:rFonts w:hint="eastAsia" w:ascii="仿宋" w:eastAsia="仿宋" w:cs="仿宋"/>
          <w:sz w:val="24"/>
          <w:szCs w:val="28"/>
        </w:rPr>
        <w:t>四、提交投标文件</w:t>
      </w:r>
      <w:bookmarkEnd w:id="24"/>
      <w:bookmarkEnd w:id="25"/>
      <w:r>
        <w:rPr>
          <w:rFonts w:hint="eastAsia" w:ascii="仿宋" w:eastAsia="仿宋" w:cs="仿宋"/>
          <w:sz w:val="24"/>
          <w:szCs w:val="28"/>
        </w:rPr>
        <w:t>截止时间、开标时间和地点</w:t>
      </w:r>
      <w:bookmarkEnd w:id="26"/>
      <w:bookmarkEnd w:id="27"/>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szCs w:val="28"/>
        </w:rPr>
        <w:t>2023年</w:t>
      </w:r>
      <w:r>
        <w:rPr>
          <w:rFonts w:hint="eastAsia" w:ascii="仿宋" w:hAnsi="仿宋" w:eastAsia="仿宋" w:cs="仿宋"/>
          <w:sz w:val="24"/>
          <w:szCs w:val="28"/>
          <w:lang w:val="en-US" w:eastAsia="zh-CN"/>
        </w:rPr>
        <w:t>03</w:t>
      </w:r>
      <w:r>
        <w:rPr>
          <w:rFonts w:hint="eastAsia" w:ascii="仿宋" w:hAnsi="仿宋" w:eastAsia="仿宋" w:cs="仿宋"/>
          <w:sz w:val="24"/>
          <w:szCs w:val="28"/>
        </w:rPr>
        <w:t>月</w:t>
      </w:r>
      <w:r>
        <w:rPr>
          <w:rFonts w:hint="eastAsia" w:ascii="仿宋" w:hAnsi="仿宋" w:eastAsia="仿宋" w:cs="仿宋"/>
          <w:sz w:val="24"/>
          <w:szCs w:val="28"/>
          <w:lang w:val="en-US" w:eastAsia="zh-CN"/>
        </w:rPr>
        <w:t>21</w:t>
      </w:r>
      <w:r>
        <w:rPr>
          <w:rFonts w:hint="eastAsia" w:ascii="仿宋" w:hAnsi="仿宋" w:eastAsia="仿宋" w:cs="仿宋"/>
          <w:sz w:val="24"/>
          <w:szCs w:val="28"/>
        </w:rPr>
        <w:t>日09点 30分00秒（</w:t>
      </w:r>
      <w:r>
        <w:rPr>
          <w:rFonts w:hint="eastAsia" w:ascii="仿宋" w:hAnsi="仿宋" w:eastAsia="仿宋" w:cs="仿宋"/>
          <w:sz w:val="24"/>
        </w:rPr>
        <w:t>北京时间）</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开标时间：</w:t>
      </w:r>
      <w:r>
        <w:rPr>
          <w:rFonts w:hint="eastAsia" w:ascii="仿宋" w:hAnsi="仿宋" w:eastAsia="仿宋" w:cs="仿宋"/>
          <w:sz w:val="24"/>
          <w:szCs w:val="28"/>
        </w:rPr>
        <w:t>2023年</w:t>
      </w:r>
      <w:r>
        <w:rPr>
          <w:rFonts w:hint="eastAsia" w:ascii="仿宋" w:hAnsi="仿宋" w:eastAsia="仿宋" w:cs="仿宋"/>
          <w:sz w:val="24"/>
          <w:szCs w:val="28"/>
          <w:lang w:val="en-US" w:eastAsia="zh-CN"/>
        </w:rPr>
        <w:t>03</w:t>
      </w:r>
      <w:r>
        <w:rPr>
          <w:rFonts w:hint="eastAsia" w:ascii="仿宋" w:hAnsi="仿宋" w:eastAsia="仿宋" w:cs="仿宋"/>
          <w:sz w:val="24"/>
          <w:szCs w:val="28"/>
        </w:rPr>
        <w:t>月</w:t>
      </w:r>
      <w:r>
        <w:rPr>
          <w:rFonts w:hint="eastAsia" w:ascii="仿宋" w:hAnsi="仿宋" w:eastAsia="仿宋" w:cs="仿宋"/>
          <w:sz w:val="24"/>
          <w:szCs w:val="28"/>
          <w:lang w:val="en-US" w:eastAsia="zh-CN"/>
        </w:rPr>
        <w:t>21</w:t>
      </w:r>
      <w:r>
        <w:rPr>
          <w:rFonts w:hint="eastAsia" w:ascii="仿宋" w:hAnsi="仿宋" w:eastAsia="仿宋" w:cs="仿宋"/>
          <w:sz w:val="24"/>
          <w:szCs w:val="28"/>
        </w:rPr>
        <w:t>日09点 30分00秒</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w:t>
      </w:r>
      <w:r>
        <w:rPr>
          <w:rFonts w:hint="eastAsia" w:ascii="仿宋" w:hAnsi="仿宋" w:eastAsia="仿宋" w:cs="仿宋"/>
          <w:sz w:val="24"/>
          <w:szCs w:val="28"/>
        </w:rPr>
        <w:t>政采云平台网上递交。</w:t>
      </w:r>
    </w:p>
    <w:p>
      <w:pPr>
        <w:pStyle w:val="5"/>
        <w:numPr>
          <w:ilvl w:val="0"/>
          <w:numId w:val="0"/>
        </w:numPr>
        <w:rPr>
          <w:rFonts w:ascii="仿宋" w:eastAsia="仿宋" w:cs="仿宋"/>
          <w:sz w:val="24"/>
          <w:szCs w:val="28"/>
        </w:rPr>
      </w:pPr>
      <w:bookmarkStart w:id="28" w:name="_Toc28359084"/>
      <w:bookmarkStart w:id="29" w:name="_Toc35393794"/>
      <w:bookmarkStart w:id="30" w:name="_Toc28359007"/>
      <w:bookmarkStart w:id="31" w:name="_Toc35393625"/>
      <w:r>
        <w:rPr>
          <w:rFonts w:hint="eastAsia" w:ascii="仿宋" w:eastAsia="仿宋" w:cs="仿宋"/>
          <w:sz w:val="24"/>
          <w:szCs w:val="28"/>
        </w:rPr>
        <w:t>五、公告期限</w:t>
      </w:r>
      <w:bookmarkEnd w:id="28"/>
      <w:bookmarkEnd w:id="29"/>
      <w:bookmarkEnd w:id="30"/>
      <w:bookmarkEnd w:id="31"/>
    </w:p>
    <w:p>
      <w:pPr>
        <w:spacing w:line="360" w:lineRule="auto"/>
        <w:ind w:firstLine="480" w:firstLineChars="200"/>
        <w:jc w:val="left"/>
        <w:rPr>
          <w:rFonts w:ascii="仿宋" w:hAnsi="仿宋" w:eastAsia="仿宋" w:cs="仿宋"/>
          <w:kern w:val="0"/>
          <w:sz w:val="24"/>
          <w:szCs w:val="28"/>
        </w:rPr>
      </w:pPr>
      <w:r>
        <w:rPr>
          <w:rFonts w:hint="eastAsia" w:ascii="仿宋" w:hAnsi="仿宋" w:eastAsia="仿宋" w:cs="仿宋"/>
          <w:kern w:val="0"/>
          <w:sz w:val="24"/>
          <w:szCs w:val="28"/>
        </w:rPr>
        <w:t>自本公告发布之日起5个工作日。</w:t>
      </w:r>
    </w:p>
    <w:p>
      <w:pPr>
        <w:pStyle w:val="5"/>
        <w:numPr>
          <w:ilvl w:val="0"/>
          <w:numId w:val="0"/>
        </w:numPr>
        <w:rPr>
          <w:rFonts w:ascii="仿宋" w:eastAsia="仿宋" w:cs="仿宋"/>
          <w:sz w:val="24"/>
          <w:szCs w:val="28"/>
        </w:rPr>
      </w:pPr>
      <w:bookmarkStart w:id="32" w:name="_Toc35393626"/>
      <w:bookmarkStart w:id="33" w:name="_Toc35393795"/>
      <w:r>
        <w:rPr>
          <w:rFonts w:hint="eastAsia" w:ascii="仿宋" w:eastAsia="仿宋" w:cs="仿宋"/>
          <w:sz w:val="24"/>
          <w:szCs w:val="28"/>
        </w:rPr>
        <w:t>六、其他补充事宜</w:t>
      </w:r>
      <w:bookmarkEnd w:id="32"/>
      <w:bookmarkEnd w:id="33"/>
    </w:p>
    <w:p>
      <w:pPr>
        <w:spacing w:line="360" w:lineRule="auto"/>
        <w:ind w:firstLine="480" w:firstLineChars="200"/>
        <w:rPr>
          <w:rFonts w:ascii="仿宋" w:hAnsi="仿宋" w:eastAsia="仿宋" w:cs="仿宋"/>
          <w:sz w:val="24"/>
        </w:rPr>
      </w:pPr>
      <w:bookmarkStart w:id="34" w:name="_Toc28359085"/>
      <w:bookmarkStart w:id="35" w:name="_Toc35393627"/>
      <w:bookmarkStart w:id="36" w:name="_Toc35393796"/>
      <w:bookmarkStart w:id="37" w:name="_Toc28359008"/>
      <w:r>
        <w:rPr>
          <w:rFonts w:hint="eastAsia" w:ascii="仿宋" w:hAnsi="仿宋" w:eastAsia="仿宋" w:cs="仿宋"/>
          <w:sz w:val="24"/>
        </w:rPr>
        <w:t>1.供应商认为交易文件使自己的权益受到损害的，可以自获取交易文件之日或者交易文件公告期限届满之日（公告期限届满后获取交易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2.需要落实的政府采购政策：包括节约资源、保护环境、支持创新、促进中小企业发展等。详见交易文件的第二部分总则。</w:t>
      </w:r>
    </w:p>
    <w:p>
      <w:pPr>
        <w:spacing w:line="360" w:lineRule="auto"/>
        <w:ind w:firstLine="480" w:firstLineChars="200"/>
        <w:rPr>
          <w:rFonts w:ascii="仿宋" w:hAnsi="仿宋" w:eastAsia="仿宋" w:cs="仿宋"/>
          <w:sz w:val="24"/>
        </w:rPr>
      </w:pPr>
      <w:r>
        <w:rPr>
          <w:rFonts w:hint="eastAsia" w:ascii="仿宋" w:hAnsi="仿宋" w:eastAsia="仿宋" w:cs="仿宋"/>
          <w:sz w:val="24"/>
        </w:rPr>
        <w:t>3.电子招投标的说明: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交易文件的获取：使用账号登录或者使用CA登录政采云平台；进入“项目采购”应用，在获取采购文件菜单中选择项目，获取交易文件。4）投标文件的制作：在“政采云电子交易客户端”中完成“填写基本信息”、“导入投标文件”、“标书关联”、“标书检查”、“电子签章”、“生成电子标书”等操作。5）采购人、采购机构将依托政采云平台完成本项目的电子交易活动，平台不接受未按上述方式获取交易文件的供应商进行投标活动。6）对未按上述方式获取交易文件的供应商对该文件提出的质疑，采购人或采购代理机构将不予处理。7）不提供交易文件纸质版。8）投标文件的传输递交：供应商在投标截止时间前将加密的投标文件上传至政府采购云平台，还可以在投标截止时间前直接提交。备份投标文件的制作、存储、密封详见交易文件第二部分。9）投标文件的解密：供应商按照平台提示和交易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10）具体操作指南：详见政采云平台“服务中心-帮助文档-项目采购-操作流程-电子招投标-政府采购项目电子交易管理操作指南-供应商”。</w:t>
      </w:r>
    </w:p>
    <w:p>
      <w:pPr>
        <w:pStyle w:val="5"/>
        <w:numPr>
          <w:ilvl w:val="0"/>
          <w:numId w:val="0"/>
        </w:numPr>
        <w:rPr>
          <w:rFonts w:ascii="仿宋" w:eastAsia="仿宋" w:cs="仿宋"/>
          <w:sz w:val="24"/>
          <w:szCs w:val="28"/>
        </w:rPr>
      </w:pPr>
      <w:r>
        <w:rPr>
          <w:rFonts w:hint="eastAsia" w:ascii="仿宋" w:eastAsia="仿宋" w:cs="仿宋"/>
          <w:sz w:val="24"/>
          <w:szCs w:val="28"/>
        </w:rPr>
        <w:t>七、对本次交易提出询问，请按以下方式联系。</w:t>
      </w:r>
      <w:bookmarkEnd w:id="34"/>
      <w:bookmarkEnd w:id="35"/>
      <w:bookmarkEnd w:id="36"/>
      <w:bookmarkEnd w:id="37"/>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1.采购人信息</w:t>
      </w:r>
    </w:p>
    <w:p>
      <w:pPr>
        <w:spacing w:line="360" w:lineRule="auto"/>
        <w:jc w:val="left"/>
        <w:rPr>
          <w:rFonts w:ascii="仿宋" w:hAnsi="仿宋" w:eastAsia="仿宋" w:cs="仿宋"/>
          <w:sz w:val="24"/>
          <w:szCs w:val="28"/>
        </w:rPr>
      </w:pPr>
      <w:r>
        <w:rPr>
          <w:rFonts w:hint="eastAsia" w:ascii="仿宋" w:hAnsi="仿宋" w:eastAsia="仿宋" w:cs="仿宋"/>
          <w:sz w:val="24"/>
          <w:szCs w:val="28"/>
        </w:rPr>
        <w:t>名 称：杭州市萧山区总工会</w:t>
      </w:r>
    </w:p>
    <w:p>
      <w:pPr>
        <w:spacing w:line="360" w:lineRule="auto"/>
        <w:jc w:val="left"/>
        <w:rPr>
          <w:rFonts w:ascii="仿宋" w:hAnsi="仿宋" w:eastAsia="仿宋" w:cs="仿宋"/>
          <w:sz w:val="24"/>
          <w:szCs w:val="28"/>
        </w:rPr>
      </w:pPr>
      <w:r>
        <w:rPr>
          <w:rFonts w:hint="eastAsia" w:ascii="仿宋" w:hAnsi="仿宋" w:eastAsia="仿宋" w:cs="仿宋"/>
          <w:sz w:val="24"/>
          <w:szCs w:val="28"/>
        </w:rPr>
        <w:t>地址：萧山区金城路39号紫橙国际创新中心4幢19楼</w:t>
      </w:r>
    </w:p>
    <w:p>
      <w:pPr>
        <w:spacing w:line="360" w:lineRule="auto"/>
        <w:jc w:val="left"/>
        <w:rPr>
          <w:rFonts w:ascii="仿宋" w:hAnsi="仿宋" w:eastAsia="仿宋" w:cs="仿宋"/>
          <w:sz w:val="24"/>
          <w:szCs w:val="28"/>
        </w:rPr>
      </w:pPr>
      <w:r>
        <w:rPr>
          <w:rFonts w:hint="eastAsia" w:ascii="仿宋" w:hAnsi="仿宋" w:eastAsia="仿宋" w:cs="仿宋"/>
          <w:sz w:val="24"/>
          <w:szCs w:val="28"/>
        </w:rPr>
        <w:t>项目联系人（询问）：俞立</w:t>
      </w:r>
    </w:p>
    <w:p>
      <w:pPr>
        <w:spacing w:line="360" w:lineRule="auto"/>
        <w:jc w:val="left"/>
        <w:rPr>
          <w:rFonts w:ascii="仿宋" w:hAnsi="仿宋" w:eastAsia="仿宋" w:cs="仿宋"/>
          <w:sz w:val="24"/>
          <w:szCs w:val="28"/>
        </w:rPr>
      </w:pPr>
      <w:r>
        <w:rPr>
          <w:rFonts w:hint="eastAsia" w:ascii="仿宋" w:hAnsi="仿宋" w:eastAsia="仿宋" w:cs="仿宋"/>
          <w:sz w:val="24"/>
          <w:szCs w:val="28"/>
        </w:rPr>
        <w:t>项目联系方式（询问）：</w:t>
      </w:r>
      <w:r>
        <w:rPr>
          <w:rFonts w:hint="eastAsia" w:ascii="仿宋" w:hAnsi="仿宋" w:eastAsia="仿宋"/>
          <w:sz w:val="24"/>
          <w:szCs w:val="28"/>
        </w:rPr>
        <w:t>0571-83712010</w:t>
      </w:r>
    </w:p>
    <w:p>
      <w:pPr>
        <w:spacing w:line="360" w:lineRule="auto"/>
        <w:jc w:val="left"/>
        <w:rPr>
          <w:rFonts w:ascii="仿宋" w:hAnsi="仿宋" w:eastAsia="仿宋" w:cs="仿宋"/>
          <w:sz w:val="24"/>
          <w:szCs w:val="28"/>
        </w:rPr>
      </w:pPr>
      <w:bookmarkStart w:id="38" w:name="_Toc28359086"/>
      <w:bookmarkStart w:id="39" w:name="_Toc28359009"/>
      <w:r>
        <w:rPr>
          <w:rFonts w:hint="eastAsia" w:ascii="仿宋" w:hAnsi="仿宋" w:eastAsia="仿宋" w:cs="仿宋"/>
          <w:sz w:val="24"/>
          <w:szCs w:val="28"/>
        </w:rPr>
        <w:t>2.采购代理机构信息</w:t>
      </w:r>
      <w:bookmarkEnd w:id="38"/>
      <w:bookmarkEnd w:id="39"/>
    </w:p>
    <w:p>
      <w:pPr>
        <w:spacing w:line="360" w:lineRule="auto"/>
        <w:jc w:val="left"/>
        <w:rPr>
          <w:rFonts w:ascii="仿宋" w:hAnsi="仿宋" w:eastAsia="仿宋" w:cs="仿宋"/>
          <w:sz w:val="24"/>
          <w:szCs w:val="28"/>
        </w:rPr>
      </w:pPr>
      <w:r>
        <w:rPr>
          <w:rFonts w:hint="eastAsia" w:ascii="仿宋" w:hAnsi="仿宋" w:eastAsia="仿宋" w:cs="仿宋"/>
          <w:sz w:val="24"/>
          <w:szCs w:val="28"/>
        </w:rPr>
        <w:t>名 称：浙江华域高宇项目管理有限公司</w:t>
      </w:r>
    </w:p>
    <w:p>
      <w:pPr>
        <w:spacing w:line="360" w:lineRule="auto"/>
        <w:jc w:val="left"/>
        <w:rPr>
          <w:rFonts w:ascii="仿宋" w:hAnsi="仿宋" w:eastAsia="仿宋" w:cs="仿宋"/>
          <w:sz w:val="24"/>
          <w:szCs w:val="28"/>
        </w:rPr>
      </w:pPr>
      <w:r>
        <w:rPr>
          <w:rFonts w:hint="eastAsia" w:ascii="仿宋" w:hAnsi="仿宋" w:eastAsia="仿宋" w:cs="仿宋"/>
          <w:sz w:val="24"/>
          <w:szCs w:val="28"/>
        </w:rPr>
        <w:t>地址：萧山区北干街道金城路560号心意广场2幢1101室</w:t>
      </w:r>
    </w:p>
    <w:p>
      <w:pPr>
        <w:spacing w:line="360" w:lineRule="auto"/>
        <w:jc w:val="left"/>
        <w:rPr>
          <w:rFonts w:ascii="仿宋" w:hAnsi="仿宋" w:eastAsia="仿宋" w:cs="仿宋"/>
          <w:sz w:val="24"/>
          <w:szCs w:val="28"/>
        </w:rPr>
      </w:pPr>
      <w:r>
        <w:rPr>
          <w:rFonts w:hint="eastAsia" w:ascii="仿宋" w:hAnsi="仿宋" w:eastAsia="仿宋" w:cs="仿宋"/>
          <w:sz w:val="24"/>
          <w:szCs w:val="28"/>
        </w:rPr>
        <w:t>项目联系人（询问）：陈超</w:t>
      </w:r>
    </w:p>
    <w:p>
      <w:pPr>
        <w:spacing w:line="360" w:lineRule="auto"/>
        <w:jc w:val="left"/>
        <w:rPr>
          <w:rFonts w:ascii="仿宋" w:hAnsi="仿宋" w:eastAsia="仿宋" w:cs="仿宋"/>
          <w:sz w:val="24"/>
          <w:szCs w:val="28"/>
        </w:rPr>
      </w:pPr>
      <w:r>
        <w:rPr>
          <w:rFonts w:hint="eastAsia" w:ascii="仿宋" w:hAnsi="仿宋" w:eastAsia="仿宋" w:cs="仿宋"/>
          <w:sz w:val="24"/>
          <w:szCs w:val="28"/>
        </w:rPr>
        <w:t xml:space="preserve">项目联系方式（询问）：13738195695 </w:t>
      </w:r>
    </w:p>
    <w:p>
      <w:pPr>
        <w:wordWrap w:val="0"/>
        <w:spacing w:line="360" w:lineRule="auto"/>
        <w:ind w:firstLine="480" w:firstLineChars="200"/>
        <w:jc w:val="left"/>
        <w:rPr>
          <w:rFonts w:ascii="仿宋" w:hAnsi="仿宋" w:eastAsia="仿宋" w:cs="仿宋"/>
          <w:sz w:val="24"/>
        </w:rPr>
      </w:pPr>
    </w:p>
    <w:p>
      <w:pPr>
        <w:wordWrap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rPr>
          <w:rFonts w:ascii="仿宋" w:hAnsi="仿宋" w:eastAsia="仿宋" w:cs="仿宋"/>
        </w:rPr>
      </w:pPr>
      <w:r>
        <w:rPr>
          <w:rFonts w:hint="eastAsia" w:ascii="仿宋" w:hAnsi="仿宋" w:eastAsia="仿宋" w:cs="仿宋"/>
        </w:rPr>
        <w:br w:type="page"/>
      </w:r>
    </w:p>
    <w:p>
      <w:pPr>
        <w:pStyle w:val="4"/>
        <w:rPr>
          <w:rFonts w:cs="仿宋"/>
          <w:color w:val="auto"/>
        </w:rPr>
      </w:pPr>
      <w:r>
        <w:rPr>
          <w:rFonts w:hint="eastAsia" w:cs="仿宋"/>
          <w:color w:val="auto"/>
        </w:rPr>
        <w:t>第二部分</w:t>
      </w:r>
      <w:bookmarkEnd w:id="8"/>
      <w:r>
        <w:rPr>
          <w:rFonts w:hint="eastAsia" w:cs="仿宋"/>
          <w:color w:val="auto"/>
        </w:rPr>
        <w:t>供应商须知</w:t>
      </w:r>
      <w:bookmarkEnd w:id="9"/>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593"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kern w:val="0"/>
                <w:sz w:val="24"/>
                <w:lang w:val="zh-CN"/>
              </w:rPr>
            </w:pPr>
            <w:r>
              <w:rPr>
                <w:rFonts w:hint="eastAsia" w:ascii="仿宋" w:hAnsi="仿宋" w:eastAsia="仿宋" w:cs="仿宋"/>
                <w:b/>
                <w:kern w:val="0"/>
                <w:sz w:val="24"/>
                <w:lang w:val="zh-CN"/>
              </w:rPr>
              <w:t>有关本项目开展所需的</w:t>
            </w:r>
            <w:r>
              <w:rPr>
                <w:rFonts w:hint="eastAsia" w:ascii="仿宋" w:hAnsi="仿宋" w:eastAsia="仿宋" w:cs="仿宋"/>
                <w:b/>
                <w:kern w:val="0"/>
                <w:sz w:val="24"/>
              </w:rPr>
              <w:t>所有</w:t>
            </w:r>
            <w:r>
              <w:rPr>
                <w:rFonts w:hint="eastAsia" w:ascii="仿宋" w:hAnsi="仿宋" w:eastAsia="仿宋" w:cs="仿宋"/>
                <w:b/>
                <w:kern w:val="0"/>
                <w:sz w:val="24"/>
                <w:lang w:val="zh-CN"/>
              </w:rPr>
              <w:t>费用均计入报价。</w:t>
            </w:r>
            <w:r>
              <w:rPr>
                <w:rFonts w:hint="eastAsia" w:ascii="仿宋" w:hAnsi="仿宋" w:eastAsia="仿宋" w:cs="仿宋"/>
                <w:b/>
                <w:kern w:val="0"/>
                <w:sz w:val="24"/>
              </w:rPr>
              <w:t>《投标（开标）一览表》是报价的唯一载体</w:t>
            </w:r>
            <w:r>
              <w:rPr>
                <w:rFonts w:hint="eastAsia" w:ascii="仿宋" w:hAnsi="仿宋" w:eastAsia="仿宋" w:cs="仿宋"/>
                <w:b/>
                <w:kern w:val="0"/>
                <w:sz w:val="24"/>
                <w:lang w:val="zh-CN"/>
              </w:rPr>
              <w:t>。投标文件中价格全部采用人民币报价。交易文件未列明，而供应商认为必需的费用也需列入报价。</w:t>
            </w:r>
          </w:p>
          <w:p>
            <w:pPr>
              <w:spacing w:line="360" w:lineRule="auto"/>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pacing w:line="360" w:lineRule="auto"/>
              <w:rPr>
                <w:rFonts w:ascii="仿宋" w:hAnsi="仿宋" w:eastAsia="仿宋" w:cs="仿宋"/>
                <w:b/>
                <w:kern w:val="0"/>
                <w:sz w:val="24"/>
                <w:lang w:val="zh-CN"/>
              </w:rPr>
            </w:pPr>
            <w:r>
              <w:rPr>
                <w:rFonts w:hint="eastAsia" w:ascii="仿宋" w:hAnsi="仿宋" w:eastAsia="仿宋" w:cs="仿宋"/>
                <w:b/>
                <w:kern w:val="0"/>
                <w:sz w:val="24"/>
              </w:rPr>
              <w:t>▲</w:t>
            </w:r>
            <w:r>
              <w:rPr>
                <w:rFonts w:hint="eastAsia" w:ascii="仿宋" w:hAnsi="仿宋" w:eastAsia="仿宋" w:cs="仿宋"/>
                <w:b/>
                <w:kern w:val="0"/>
                <w:sz w:val="24"/>
                <w:lang w:val="zh-CN"/>
              </w:rPr>
              <w:t>投标文件出现不是唯一的、有选择性投标报价的；</w:t>
            </w:r>
          </w:p>
          <w:p>
            <w:pPr>
              <w:spacing w:line="360" w:lineRule="auto"/>
              <w:rPr>
                <w:rFonts w:ascii="仿宋" w:hAnsi="仿宋" w:eastAsia="仿宋" w:cs="仿宋"/>
                <w:b/>
                <w:kern w:val="0"/>
                <w:sz w:val="24"/>
                <w:lang w:val="zh-CN"/>
              </w:rPr>
            </w:pPr>
            <w:r>
              <w:rPr>
                <w:rFonts w:hint="eastAsia" w:ascii="仿宋" w:hAnsi="仿宋" w:eastAsia="仿宋" w:cs="仿宋"/>
                <w:b/>
                <w:kern w:val="0"/>
                <w:sz w:val="24"/>
              </w:rPr>
              <w:t>▲投标报价高于本项目采购预算或者最高限价的;</w:t>
            </w:r>
          </w:p>
          <w:p>
            <w:pPr>
              <w:spacing w:line="360" w:lineRule="auto"/>
              <w:rPr>
                <w:rFonts w:ascii="仿宋" w:hAnsi="仿宋" w:eastAsia="仿宋" w:cs="仿宋"/>
                <w:b/>
                <w:kern w:val="0"/>
                <w:sz w:val="24"/>
              </w:rPr>
            </w:pPr>
            <w:r>
              <w:rPr>
                <w:rFonts w:hint="eastAsia" w:ascii="仿宋" w:hAnsi="仿宋" w:eastAsia="仿宋" w:cs="仿宋"/>
                <w:b/>
                <w:kern w:val="0"/>
                <w:sz w:val="24"/>
              </w:rPr>
              <w:t>▲报价明显低于其他通过符合性审查供应商的报价，有可能影响产品质量或者不能诚信履约的，未能按要求提供书面说明或者提交相关证明材料，不能证明其报价合理性的;</w:t>
            </w:r>
          </w:p>
          <w:p>
            <w:pPr>
              <w:spacing w:line="360" w:lineRule="auto"/>
              <w:rPr>
                <w:rFonts w:ascii="仿宋" w:hAnsi="仿宋" w:eastAsia="仿宋" w:cs="仿宋"/>
                <w:b/>
                <w:kern w:val="0"/>
                <w:sz w:val="24"/>
              </w:rPr>
            </w:pPr>
            <w:r>
              <w:rPr>
                <w:rFonts w:hint="eastAsia" w:ascii="仿宋" w:hAnsi="仿宋" w:eastAsia="仿宋" w:cs="仿宋"/>
                <w:b/>
                <w:kern w:val="0"/>
                <w:sz w:val="24"/>
              </w:rPr>
              <w:t>▲《投标（开标）一览表》填写不完整或字迹不能辨认或有漏项的；</w:t>
            </w:r>
          </w:p>
          <w:p>
            <w:pPr>
              <w:spacing w:line="360" w:lineRule="auto"/>
              <w:rPr>
                <w:rFonts w:ascii="仿宋" w:hAnsi="仿宋" w:eastAsia="仿宋" w:cs="仿宋"/>
                <w:b/>
                <w:kern w:val="0"/>
                <w:sz w:val="24"/>
              </w:rPr>
            </w:pPr>
            <w:r>
              <w:rPr>
                <w:rFonts w:hint="eastAsia" w:ascii="仿宋" w:hAnsi="仿宋" w:eastAsia="仿宋" w:cs="仿宋"/>
                <w:b/>
                <w:kern w:val="0"/>
                <w:sz w:val="24"/>
              </w:rPr>
              <w:t>▲供应商对根据修正原则修正后的报价不确认的。</w:t>
            </w:r>
          </w:p>
          <w:p>
            <w:pPr>
              <w:spacing w:line="360" w:lineRule="auto"/>
              <w:rPr>
                <w:rFonts w:ascii="仿宋" w:hAnsi="仿宋" w:eastAsia="仿宋" w:cs="仿宋"/>
                <w:b/>
                <w:kern w:val="0"/>
                <w:sz w:val="24"/>
              </w:rPr>
            </w:pPr>
            <w:r>
              <w:rPr>
                <w:rFonts w:hint="eastAsia" w:ascii="仿宋" w:hAnsi="仿宋" w:eastAsia="仿宋" w:cs="仿宋"/>
                <w:b/>
                <w:kern w:val="0"/>
                <w:sz w:val="24"/>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分包或转包。</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kern w:val="0"/>
                <w:sz w:val="24"/>
              </w:rPr>
            </w:pPr>
            <w:r>
              <w:rPr>
                <w:rFonts w:hint="eastAsia" w:ascii="仿宋" w:hAnsi="仿宋" w:eastAsia="仿宋" w:cs="仿宋"/>
                <w:b/>
                <w:kern w:val="0"/>
                <w:sz w:val="24"/>
              </w:rPr>
              <w:t>本项目不允许分包或转包。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15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供应商应当提供的资格、资信证明等文件</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（1）资格证明文件：</w:t>
            </w:r>
            <w:r>
              <w:rPr>
                <w:rFonts w:hint="eastAsia" w:ascii="仿宋" w:hAnsi="仿宋" w:eastAsia="仿宋" w:cs="仿宋"/>
                <w:kern w:val="0"/>
                <w:sz w:val="24"/>
              </w:rPr>
              <w:t>见交易文件第二部分11.1。</w:t>
            </w:r>
          </w:p>
          <w:p>
            <w:pPr>
              <w:spacing w:line="360" w:lineRule="auto"/>
              <w:rPr>
                <w:rFonts w:ascii="仿宋" w:hAnsi="仿宋" w:eastAsia="仿宋" w:cs="仿宋"/>
                <w:sz w:val="24"/>
              </w:rPr>
            </w:pPr>
            <w:r>
              <w:rPr>
                <w:rFonts w:hint="eastAsia" w:ascii="仿宋" w:hAnsi="仿宋" w:eastAsia="仿宋" w:cs="仿宋"/>
                <w:sz w:val="24"/>
              </w:rPr>
              <w:t>（2）资信证明文件：根据交易文件第四部分评标标准提供。</w:t>
            </w:r>
          </w:p>
          <w:p>
            <w:pPr>
              <w:spacing w:line="360" w:lineRule="auto"/>
              <w:rPr>
                <w:rFonts w:ascii="仿宋" w:hAnsi="仿宋" w:eastAsia="仿宋" w:cs="仿宋"/>
                <w:kern w:val="0"/>
                <w:sz w:val="24"/>
              </w:rPr>
            </w:pPr>
            <w:r>
              <w:rPr>
                <w:rFonts w:hint="eastAsia" w:ascii="仿宋" w:hAnsi="仿宋" w:eastAsia="仿宋" w:cs="仿宋"/>
                <w:sz w:val="24"/>
              </w:rPr>
              <w:t>▲</w:t>
            </w:r>
            <w:r>
              <w:rPr>
                <w:rFonts w:hint="eastAsia" w:ascii="仿宋" w:hAnsi="仿宋" w:eastAsia="仿宋" w:cs="仿宋"/>
                <w:b/>
                <w:sz w:val="24"/>
              </w:rPr>
              <w:t>供应商未提供（1）的有效的资格证明文件的，视为供应商不具备交易文件中规定的资格要求，投标无效。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ascii="仿宋" w:hAnsi="仿宋" w:eastAsia="仿宋" w:cs="仿宋"/>
                <w:sz w:val="24"/>
              </w:rPr>
            </w:pPr>
            <w:r>
              <w:rPr>
                <w:rFonts w:hint="eastAsia" w:ascii="仿宋" w:hAnsi="仿宋" w:eastAsia="仿宋" w:cs="仿宋"/>
                <w:sz w:val="24"/>
              </w:rPr>
              <w:t>4</w:t>
            </w:r>
          </w:p>
        </w:tc>
        <w:tc>
          <w:tcPr>
            <w:tcW w:w="1559" w:type="dxa"/>
            <w:tcBorders>
              <w:top w:val="single" w:color="auto" w:sz="4"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开标前答疑会或现场考察</w:t>
            </w:r>
          </w:p>
        </w:tc>
        <w:tc>
          <w:tcPr>
            <w:tcW w:w="623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b/>
                <w:sz w:val="24"/>
              </w:rPr>
              <w:t>（√）</w:t>
            </w:r>
            <w:r>
              <w:rPr>
                <w:rFonts w:hint="eastAsia" w:ascii="仿宋" w:hAnsi="仿宋" w:eastAsia="仿宋" w:cs="仿宋"/>
                <w:kern w:val="0"/>
                <w:sz w:val="24"/>
              </w:rPr>
              <w:t>A</w:t>
            </w:r>
            <w:r>
              <w:rPr>
                <w:rFonts w:hint="eastAsia" w:ascii="仿宋" w:hAnsi="仿宋" w:eastAsia="仿宋" w:cs="仿宋"/>
                <w:sz w:val="24"/>
              </w:rPr>
              <w:t>不组织。</w:t>
            </w:r>
          </w:p>
          <w:p>
            <w:pPr>
              <w:pStyle w:val="32"/>
              <w:spacing w:line="360" w:lineRule="auto"/>
              <w:rPr>
                <w:rFonts w:ascii="仿宋" w:hAnsi="仿宋" w:eastAsia="仿宋" w:cs="仿宋"/>
                <w:sz w:val="24"/>
              </w:rPr>
            </w:pPr>
            <w:r>
              <w:rPr>
                <w:rFonts w:hint="eastAsia" w:ascii="仿宋" w:hAnsi="仿宋" w:eastAsia="仿宋" w:cs="仿宋"/>
                <w:b/>
                <w:sz w:val="24"/>
              </w:rPr>
              <w:t>（  ）</w:t>
            </w:r>
            <w:r>
              <w:rPr>
                <w:rFonts w:hint="eastAsia" w:ascii="仿宋" w:hAnsi="仿宋" w:eastAsia="仿宋" w:cs="仿宋"/>
                <w:kern w:val="0"/>
                <w:sz w:val="24"/>
              </w:rPr>
              <w:t>B组织，</w:t>
            </w:r>
            <w:r>
              <w:rPr>
                <w:rFonts w:hint="eastAsia" w:ascii="仿宋" w:hAnsi="仿宋" w:eastAsia="仿宋" w:cs="仿宋"/>
                <w:sz w:val="24"/>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样品提供</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Cs/>
                <w:sz w:val="24"/>
              </w:rPr>
            </w:pPr>
            <w:r>
              <w:rPr>
                <w:rFonts w:hint="eastAsia" w:ascii="仿宋" w:hAnsi="仿宋" w:eastAsia="仿宋" w:cs="仿宋"/>
                <w:bCs/>
                <w:sz w:val="24"/>
              </w:rPr>
              <w:t>（√）A不要求提供。</w:t>
            </w:r>
          </w:p>
          <w:p>
            <w:pPr>
              <w:spacing w:line="360" w:lineRule="auto"/>
              <w:rPr>
                <w:rFonts w:ascii="仿宋" w:hAnsi="仿宋" w:eastAsia="仿宋" w:cs="仿宋"/>
                <w:b/>
                <w:sz w:val="24"/>
              </w:rPr>
            </w:pPr>
            <w:r>
              <w:rPr>
                <w:rFonts w:hint="eastAsia" w:ascii="仿宋" w:hAnsi="仿宋" w:eastAsia="仿宋" w:cs="仿宋"/>
                <w:bCs/>
                <w:sz w:val="24"/>
              </w:rPr>
              <w:t>（  ）B要求提供。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p>
            <w:pPr>
              <w:snapToGrid w:val="0"/>
              <w:spacing w:line="360" w:lineRule="auto"/>
              <w:jc w:val="center"/>
              <w:rPr>
                <w:rFonts w:ascii="仿宋" w:hAnsi="仿宋" w:eastAsia="仿宋" w:cs="仿宋"/>
                <w:sz w:val="24"/>
              </w:rPr>
            </w:pP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投标文件的</w:t>
            </w:r>
          </w:p>
          <w:p>
            <w:pPr>
              <w:spacing w:line="360" w:lineRule="auto"/>
              <w:jc w:val="center"/>
              <w:rPr>
                <w:rFonts w:ascii="仿宋" w:hAnsi="仿宋" w:eastAsia="仿宋" w:cs="仿宋"/>
                <w:b/>
                <w:sz w:val="24"/>
              </w:rPr>
            </w:pPr>
            <w:r>
              <w:rPr>
                <w:rFonts w:hint="eastAsia" w:ascii="仿宋" w:hAnsi="仿宋" w:eastAsia="仿宋" w:cs="仿宋"/>
                <w:b/>
                <w:sz w:val="24"/>
              </w:rPr>
              <w:t>份数</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32"/>
              <w:snapToGrid w:val="0"/>
              <w:spacing w:before="120" w:after="120" w:line="360" w:lineRule="auto"/>
              <w:rPr>
                <w:rFonts w:ascii="仿宋" w:hAnsi="仿宋" w:eastAsia="仿宋" w:cs="仿宋"/>
                <w:sz w:val="24"/>
              </w:rPr>
            </w:pPr>
            <w:r>
              <w:rPr>
                <w:rFonts w:hint="eastAsia" w:ascii="仿宋" w:hAnsi="仿宋" w:eastAsia="仿宋" w:cs="仿宋"/>
                <w:sz w:val="24"/>
              </w:rPr>
              <w:t>本项目实行电子投标。</w:t>
            </w:r>
          </w:p>
          <w:p>
            <w:pPr>
              <w:pStyle w:val="32"/>
              <w:snapToGrid w:val="0"/>
              <w:spacing w:before="120" w:after="120" w:line="360" w:lineRule="auto"/>
              <w:ind w:firstLine="360" w:firstLineChars="150"/>
              <w:rPr>
                <w:rFonts w:ascii="仿宋" w:hAnsi="仿宋" w:eastAsia="仿宋" w:cs="仿宋"/>
                <w:sz w:val="24"/>
              </w:rPr>
            </w:pPr>
            <w:r>
              <w:rPr>
                <w:rFonts w:hint="eastAsia" w:ascii="仿宋" w:hAnsi="仿宋" w:eastAsia="仿宋" w:cs="仿宋"/>
                <w:sz w:val="24"/>
              </w:rPr>
              <w:t>供应商应准备电子投标文件参与投标：</w:t>
            </w:r>
          </w:p>
          <w:p>
            <w:pPr>
              <w:pStyle w:val="32"/>
              <w:snapToGrid w:val="0"/>
              <w:spacing w:before="120" w:after="120" w:line="360" w:lineRule="auto"/>
              <w:ind w:left="360"/>
              <w:rPr>
                <w:rFonts w:ascii="仿宋" w:hAnsi="仿宋" w:eastAsia="仿宋" w:cs="仿宋"/>
                <w:sz w:val="24"/>
              </w:rPr>
            </w:pPr>
            <w:r>
              <w:rPr>
                <w:rFonts w:hint="eastAsia" w:ascii="仿宋" w:hAnsi="仿宋" w:eastAsia="仿宋" w:cs="仿宋"/>
                <w:sz w:val="24"/>
              </w:rPr>
              <w:t>电子投标文件，按政采云平台项目采购-电子招投标操作指南及本交易文件要求递交。</w:t>
            </w:r>
          </w:p>
          <w:p>
            <w:pPr>
              <w:spacing w:line="360" w:lineRule="auto"/>
              <w:rPr>
                <w:rFonts w:ascii="仿宋" w:hAnsi="仿宋" w:eastAsia="仿宋" w:cs="仿宋"/>
                <w:b/>
                <w:sz w:val="24"/>
              </w:rPr>
            </w:pPr>
            <w:r>
              <w:rPr>
                <w:rFonts w:hint="eastAsia" w:ascii="仿宋" w:hAnsi="仿宋" w:eastAsia="仿宋" w:cs="仿宋"/>
                <w:b/>
                <w:sz w:val="24"/>
              </w:rPr>
              <w:t>▲未传输递交电子投标文件的，投标无效。</w:t>
            </w:r>
          </w:p>
          <w:p>
            <w:pPr>
              <w:spacing w:line="360" w:lineRule="auto"/>
              <w:rPr>
                <w:rFonts w:ascii="仿宋" w:hAnsi="仿宋" w:eastAsia="仿宋" w:cs="仿宋"/>
                <w:b/>
                <w:sz w:val="24"/>
              </w:rPr>
            </w:pPr>
            <w:r>
              <w:rPr>
                <w:rFonts w:hint="eastAsia" w:ascii="仿宋" w:hAnsi="仿宋" w:eastAsia="仿宋" w:cs="仿宋"/>
                <w:b/>
                <w:sz w:val="24"/>
              </w:rPr>
              <w:t>▲未在系统解密时间内完成解密的，视为供应商自行放弃投标，投标无效。</w:t>
            </w:r>
          </w:p>
          <w:p>
            <w:pPr>
              <w:spacing w:line="360" w:lineRule="auto"/>
              <w:rPr>
                <w:rFonts w:ascii="仿宋" w:hAnsi="仿宋" w:eastAsia="仿宋" w:cs="仿宋"/>
                <w:b/>
                <w:sz w:val="24"/>
              </w:rPr>
            </w:pPr>
            <w:r>
              <w:rPr>
                <w:rFonts w:hint="eastAsia" w:ascii="仿宋" w:hAnsi="仿宋" w:eastAsia="仿宋" w:cs="仿宋"/>
                <w:b/>
                <w:sz w:val="24"/>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Cs/>
                <w:sz w:val="24"/>
              </w:rPr>
            </w:pPr>
            <w:r>
              <w:rPr>
                <w:rFonts w:hint="eastAsia" w:ascii="仿宋" w:hAnsi="仿宋" w:eastAsia="仿宋" w:cs="仿宋"/>
                <w:b/>
                <w:sz w:val="24"/>
              </w:rPr>
              <w:t>方案讲解演示</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（）A不组织。</w:t>
            </w:r>
          </w:p>
          <w:p>
            <w:pPr>
              <w:spacing w:after="0" w:line="360" w:lineRule="auto"/>
              <w:rPr>
                <w:rFonts w:hint="eastAsia" w:ascii="仿宋" w:hAnsi="仿宋" w:eastAsia="仿宋" w:cs="仿宋"/>
                <w:sz w:val="24"/>
              </w:rPr>
            </w:pPr>
            <w:r>
              <w:rPr>
                <w:rFonts w:hint="eastAsia" w:ascii="仿宋" w:hAnsi="仿宋" w:eastAsia="仿宋" w:cs="仿宋"/>
                <w:sz w:val="24"/>
              </w:rPr>
              <w:t>（√）B组织。</w:t>
            </w:r>
          </w:p>
          <w:p>
            <w:pPr>
              <w:spacing w:after="0" w:line="360" w:lineRule="auto"/>
              <w:rPr>
                <w:rFonts w:hint="eastAsia" w:ascii="仿宋" w:hAnsi="仿宋" w:eastAsia="仿宋" w:cs="仿宋"/>
                <w:bCs/>
                <w:color w:val="auto"/>
                <w:sz w:val="22"/>
                <w:highlight w:val="none"/>
              </w:rPr>
            </w:pPr>
            <w:r>
              <w:rPr>
                <w:rFonts w:hint="eastAsia" w:ascii="仿宋" w:hAnsi="仿宋" w:eastAsia="仿宋" w:cs="仿宋"/>
                <w:bCs/>
                <w:color w:val="auto"/>
                <w:sz w:val="22"/>
                <w:highlight w:val="none"/>
              </w:rPr>
              <w:t>（1）在评标时安排每个投标人进行方案讲解演示。每个投标人时间不超过15分钟，讲解次序以投标文件解密时间先后次序为准，讲解演示人员不超过2人。讲解演示结束后按要求解答评标委员会提问。</w:t>
            </w:r>
          </w:p>
          <w:p>
            <w:pPr>
              <w:spacing w:after="0" w:line="360" w:lineRule="auto"/>
              <w:rPr>
                <w:rFonts w:hint="eastAsia" w:ascii="仿宋" w:hAnsi="仿宋" w:eastAsia="仿宋" w:cs="仿宋"/>
                <w:bCs/>
                <w:color w:val="auto"/>
                <w:sz w:val="22"/>
                <w:highlight w:val="none"/>
                <w:lang w:eastAsia="zh-CN"/>
              </w:rPr>
            </w:pPr>
            <w:r>
              <w:rPr>
                <w:rFonts w:hint="eastAsia" w:ascii="仿宋" w:hAnsi="仿宋" w:eastAsia="仿宋" w:cs="仿宋"/>
                <w:bCs/>
                <w:color w:val="auto"/>
                <w:sz w:val="22"/>
                <w:highlight w:val="none"/>
              </w:rPr>
              <w:t>2、现场演示到场时间：2023年03月21日09点 30分00秒</w:t>
            </w:r>
            <w:r>
              <w:rPr>
                <w:rFonts w:hint="eastAsia" w:ascii="仿宋" w:hAnsi="仿宋" w:eastAsia="仿宋" w:cs="仿宋"/>
                <w:bCs/>
                <w:color w:val="auto"/>
                <w:sz w:val="22"/>
                <w:highlight w:val="none"/>
                <w:lang w:eastAsia="zh-CN"/>
              </w:rPr>
              <w:t>前</w:t>
            </w:r>
          </w:p>
          <w:p>
            <w:pPr>
              <w:spacing w:after="0" w:line="360" w:lineRule="auto"/>
              <w:rPr>
                <w:rFonts w:hint="eastAsia" w:ascii="仿宋" w:hAnsi="仿宋" w:eastAsia="仿宋" w:cs="仿宋"/>
                <w:bCs/>
                <w:color w:val="auto"/>
                <w:sz w:val="22"/>
                <w:highlight w:val="none"/>
              </w:rPr>
            </w:pPr>
            <w:r>
              <w:rPr>
                <w:rFonts w:hint="eastAsia" w:ascii="仿宋" w:hAnsi="仿宋" w:eastAsia="仿宋" w:cs="仿宋"/>
                <w:bCs/>
                <w:color w:val="auto"/>
                <w:sz w:val="22"/>
                <w:highlight w:val="none"/>
              </w:rPr>
              <w:t>3、进场人员要求：本项目投标单位进场人员不得超过2人。</w:t>
            </w:r>
          </w:p>
          <w:p>
            <w:pPr>
              <w:spacing w:line="360" w:lineRule="auto"/>
              <w:rPr>
                <w:rFonts w:ascii="仿宋" w:hAnsi="仿宋" w:eastAsia="仿宋" w:cs="仿宋"/>
                <w:sz w:val="24"/>
              </w:rPr>
            </w:pPr>
            <w:r>
              <w:rPr>
                <w:rFonts w:hint="eastAsia" w:ascii="仿宋" w:hAnsi="仿宋" w:eastAsia="仿宋" w:cs="仿宋"/>
                <w:bCs/>
                <w:color w:val="auto"/>
                <w:sz w:val="22"/>
                <w:highlight w:val="none"/>
              </w:rPr>
              <w:t>请投标人做好疫情防控，进场时戴好口罩，出示健康码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采购机构代理费用</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本项目</w:t>
            </w:r>
            <w:r>
              <w:rPr>
                <w:rFonts w:hint="eastAsia" w:ascii="仿宋" w:hAnsi="仿宋" w:eastAsia="仿宋" w:cs="仿宋"/>
                <w:sz w:val="24"/>
                <w:lang w:eastAsia="zh-CN"/>
              </w:rPr>
              <w:t>代理费由中标单位支付，</w:t>
            </w:r>
            <w:r>
              <w:rPr>
                <w:rFonts w:hint="eastAsia" w:ascii="仿宋" w:hAnsi="仿宋" w:eastAsia="仿宋" w:cs="仿宋"/>
                <w:sz w:val="24"/>
              </w:rPr>
              <w:t>每个年度单位支付该代理服务费为3000元，由每个年度单位成交单位在领取成交通知书时一次性支付。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13"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投标保证金</w:t>
            </w:r>
          </w:p>
          <w:p>
            <w:pPr>
              <w:spacing w:line="360" w:lineRule="auto"/>
              <w:rPr>
                <w:rFonts w:ascii="仿宋" w:hAnsi="仿宋" w:eastAsia="仿宋" w:cs="仿宋"/>
                <w:b/>
                <w:sz w:val="24"/>
              </w:rPr>
            </w:pPr>
            <w:r>
              <w:rPr>
                <w:rFonts w:hint="eastAsia" w:ascii="仿宋" w:hAnsi="仿宋" w:eastAsia="仿宋" w:cs="仿宋"/>
                <w:b/>
                <w:sz w:val="24"/>
              </w:rPr>
              <w:t>履约保证金</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7"/>
              <w:spacing w:line="360" w:lineRule="auto"/>
              <w:ind w:firstLine="0"/>
              <w:rPr>
                <w:rFonts w:ascii="仿宋" w:hAnsi="仿宋" w:eastAsia="仿宋" w:cs="仿宋"/>
                <w:color w:val="auto"/>
                <w:sz w:val="24"/>
              </w:rPr>
            </w:pPr>
            <w:r>
              <w:rPr>
                <w:rFonts w:hint="eastAsia" w:ascii="仿宋" w:hAnsi="仿宋" w:eastAsia="仿宋" w:cs="仿宋"/>
                <w:color w:val="auto"/>
                <w:sz w:val="24"/>
              </w:rPr>
              <w:t>投标保证金：不收取。</w:t>
            </w:r>
          </w:p>
          <w:p>
            <w:pPr>
              <w:pStyle w:val="17"/>
              <w:spacing w:line="360" w:lineRule="auto"/>
              <w:ind w:firstLine="0"/>
              <w:rPr>
                <w:rFonts w:ascii="仿宋" w:hAnsi="仿宋" w:eastAsia="仿宋" w:cs="仿宋"/>
                <w:color w:val="auto"/>
                <w:sz w:val="24"/>
              </w:rPr>
            </w:pPr>
            <w:r>
              <w:rPr>
                <w:rFonts w:hint="eastAsia" w:ascii="仿宋" w:hAnsi="仿宋" w:eastAsia="仿宋" w:cs="仿宋"/>
                <w:color w:val="auto"/>
                <w:sz w:val="24"/>
              </w:rPr>
              <w:t>履约保证金：每个单位缴纳3000.00元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5"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资格审查及信用信息查询</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7"/>
              <w:spacing w:line="360" w:lineRule="auto"/>
              <w:ind w:firstLine="0"/>
              <w:rPr>
                <w:rFonts w:ascii="仿宋" w:hAnsi="仿宋" w:eastAsia="仿宋" w:cs="仿宋"/>
                <w:color w:val="auto"/>
                <w:sz w:val="24"/>
              </w:rPr>
            </w:pPr>
            <w:r>
              <w:rPr>
                <w:rFonts w:hint="eastAsia" w:ascii="仿宋" w:hAnsi="仿宋" w:eastAsia="仿宋" w:cs="仿宋"/>
                <w:color w:val="auto"/>
                <w:sz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0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中小企业划分标准所属行业</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u w:val="single"/>
              </w:rPr>
            </w:pPr>
            <w:r>
              <w:rPr>
                <w:rFonts w:hint="eastAsia" w:ascii="仿宋" w:hAnsi="仿宋" w:eastAsia="仿宋" w:cs="仿宋"/>
                <w:kern w:val="0"/>
                <w:sz w:val="24"/>
              </w:rPr>
              <w:t>采购标的</w:t>
            </w:r>
            <w:r>
              <w:rPr>
                <w:rFonts w:hint="eastAsia" w:ascii="仿宋" w:hAnsi="仿宋" w:eastAsia="仿宋" w:cs="仿宋"/>
                <w:kern w:val="0"/>
                <w:sz w:val="24"/>
                <w:u w:val="single"/>
              </w:rPr>
              <w:t>：职工疗休养</w:t>
            </w:r>
            <w:r>
              <w:rPr>
                <w:rFonts w:hint="eastAsia" w:ascii="仿宋" w:hAnsi="仿宋" w:eastAsia="仿宋" w:cs="仿宋"/>
                <w:kern w:val="0"/>
                <w:sz w:val="24"/>
              </w:rPr>
              <w:t>，所属行业：</w:t>
            </w:r>
            <w:r>
              <w:rPr>
                <w:rFonts w:hint="eastAsia" w:ascii="仿宋" w:hAnsi="仿宋" w:eastAsia="仿宋" w:cs="仿宋"/>
                <w:kern w:val="0"/>
                <w:sz w:val="24"/>
                <w:u w:val="single"/>
              </w:rPr>
              <w:t>其他未列明行业</w:t>
            </w:r>
            <w:r>
              <w:rPr>
                <w:rFonts w:hint="eastAsia" w:ascii="仿宋" w:hAnsi="仿宋" w:eastAsia="仿宋" w:cs="仿宋"/>
                <w:sz w:val="24"/>
                <w:u w:val="single"/>
              </w:rPr>
              <w:t>。</w:t>
            </w:r>
          </w:p>
          <w:p>
            <w:pPr>
              <w:spacing w:line="360" w:lineRule="auto"/>
              <w:rPr>
                <w:rFonts w:ascii="仿宋" w:hAnsi="仿宋" w:eastAsia="仿宋" w:cs="仿宋"/>
                <w:kern w:val="0"/>
                <w:sz w:val="24"/>
              </w:rPr>
            </w:pPr>
            <w:r>
              <w:rPr>
                <w:rFonts w:hint="eastAsia" w:ascii="仿宋" w:hAnsi="仿宋" w:eastAsia="仿宋" w:cs="仿宋"/>
                <w:kern w:val="0"/>
                <w:sz w:val="24"/>
              </w:rPr>
              <w:t>行业划分标准：</w:t>
            </w:r>
          </w:p>
          <w:p>
            <w:pPr>
              <w:spacing w:line="360" w:lineRule="auto"/>
              <w:rPr>
                <w:rFonts w:ascii="仿宋" w:hAnsi="仿宋" w:eastAsia="仿宋" w:cs="仿宋"/>
                <w:sz w:val="24"/>
              </w:rPr>
            </w:pPr>
            <w:r>
              <w:rPr>
                <w:rFonts w:hint="eastAsia" w:ascii="仿宋" w:hAnsi="仿宋" w:eastAsia="仿宋" w:cs="仿宋"/>
                <w:kern w:val="0"/>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中小企业预留份额情况</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Cs/>
                <w:sz w:val="24"/>
              </w:rPr>
              <w:t>本项目</w:t>
            </w:r>
            <w:r>
              <w:rPr>
                <w:rFonts w:hint="eastAsia" w:ascii="仿宋" w:hAnsi="仿宋" w:eastAsia="仿宋" w:cs="仿宋"/>
                <w:bCs/>
                <w:sz w:val="24"/>
                <w:u w:val="single"/>
              </w:rPr>
              <w:t>不预留</w:t>
            </w:r>
            <w:r>
              <w:rPr>
                <w:rFonts w:hint="eastAsia" w:ascii="仿宋" w:hAnsi="仿宋" w:eastAsia="仿宋" w:cs="仿宋"/>
                <w:bCs/>
                <w:sz w:val="24"/>
              </w:rPr>
              <w:t>份额专门面向中小企业采购。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质疑接收人</w:t>
            </w:r>
          </w:p>
          <w:p>
            <w:pPr>
              <w:spacing w:line="360" w:lineRule="auto"/>
              <w:jc w:val="center"/>
              <w:rPr>
                <w:rFonts w:ascii="仿宋" w:hAnsi="仿宋" w:eastAsia="仿宋" w:cs="仿宋"/>
                <w:b/>
                <w:sz w:val="24"/>
              </w:rPr>
            </w:pPr>
            <w:r>
              <w:rPr>
                <w:rFonts w:hint="eastAsia" w:ascii="仿宋" w:hAnsi="仿宋" w:eastAsia="仿宋" w:cs="仿宋"/>
                <w:b/>
                <w:sz w:val="24"/>
              </w:rPr>
              <w:t>及答复</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z w:val="24"/>
                <w:u w:val="single"/>
              </w:rPr>
            </w:pPr>
            <w:r>
              <w:rPr>
                <w:rFonts w:hint="eastAsia" w:ascii="仿宋" w:hAnsi="仿宋" w:eastAsia="仿宋"/>
                <w:sz w:val="24"/>
              </w:rPr>
              <w:t>采购</w:t>
            </w:r>
            <w:r>
              <w:rPr>
                <w:rFonts w:ascii="仿宋" w:hAnsi="仿宋" w:eastAsia="仿宋"/>
                <w:sz w:val="24"/>
              </w:rPr>
              <w:t>人、</w:t>
            </w:r>
            <w:r>
              <w:rPr>
                <w:rFonts w:hint="eastAsia" w:ascii="仿宋" w:hAnsi="仿宋" w:eastAsia="仿宋"/>
                <w:sz w:val="24"/>
              </w:rPr>
              <w:t>采购</w:t>
            </w:r>
            <w:r>
              <w:rPr>
                <w:rFonts w:ascii="仿宋" w:hAnsi="仿宋" w:eastAsia="仿宋"/>
                <w:sz w:val="24"/>
              </w:rPr>
              <w:t>机构质疑接收人</w:t>
            </w:r>
            <w:r>
              <w:rPr>
                <w:rFonts w:hint="eastAsia" w:ascii="仿宋" w:hAnsi="仿宋" w:eastAsia="仿宋"/>
                <w:sz w:val="24"/>
              </w:rPr>
              <w:t>、联系方式</w:t>
            </w:r>
            <w:r>
              <w:rPr>
                <w:rFonts w:ascii="仿宋" w:hAnsi="仿宋" w:eastAsia="仿宋"/>
                <w:sz w:val="24"/>
              </w:rPr>
              <w:t>：</w:t>
            </w:r>
            <w:r>
              <w:rPr>
                <w:rFonts w:hint="eastAsia" w:ascii="仿宋" w:hAnsi="仿宋" w:eastAsia="仿宋"/>
                <w:sz w:val="24"/>
              </w:rPr>
              <w:t>详见公告</w:t>
            </w:r>
          </w:p>
          <w:p>
            <w:pPr>
              <w:snapToGrid w:val="0"/>
              <w:spacing w:line="360" w:lineRule="auto"/>
              <w:rPr>
                <w:rFonts w:ascii="仿宋" w:hAnsi="仿宋" w:eastAsia="仿宋"/>
                <w:b/>
                <w:sz w:val="24"/>
              </w:rPr>
            </w:pPr>
            <w:r>
              <w:rPr>
                <w:rFonts w:hint="eastAsia" w:ascii="仿宋" w:hAnsi="仿宋" w:eastAsia="仿宋"/>
                <w:b/>
                <w:sz w:val="24"/>
              </w:rPr>
              <w:t>线上提交质疑方式：政采云线上质疑路径：项目采购-询问质疑投诉-质疑列表。请使用ca签章在每一页质疑文件中加盖电子公章，上传完整附件。</w:t>
            </w:r>
          </w:p>
          <w:p>
            <w:pPr>
              <w:snapToGrid w:val="0"/>
              <w:spacing w:line="360" w:lineRule="auto"/>
              <w:rPr>
                <w:rFonts w:ascii="仿宋" w:hAnsi="仿宋" w:eastAsia="仿宋" w:cs="仿宋"/>
                <w:sz w:val="24"/>
              </w:rPr>
            </w:pPr>
            <w:r>
              <w:rPr>
                <w:rFonts w:hint="eastAsia" w:ascii="仿宋" w:hAnsi="仿宋" w:eastAsia="仿宋" w:cs="仿宋"/>
                <w:sz w:val="24"/>
              </w:rPr>
              <w:t>本项目涉及资格条件、采购需求、评分办法及采购过程中有关现场考察或开标前答疑会事项由采购人进行答复。</w:t>
            </w:r>
          </w:p>
          <w:p>
            <w:pPr>
              <w:snapToGrid w:val="0"/>
              <w:spacing w:line="360" w:lineRule="auto"/>
              <w:rPr>
                <w:rFonts w:ascii="仿宋" w:hAnsi="仿宋" w:eastAsia="仿宋" w:cs="仿宋"/>
                <w:sz w:val="24"/>
                <w:u w:val="single"/>
              </w:rPr>
            </w:pPr>
            <w:r>
              <w:rPr>
                <w:rFonts w:hint="eastAsia" w:ascii="仿宋" w:hAnsi="仿宋" w:eastAsia="仿宋" w:cs="仿宋"/>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41"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项目采购类型</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520" w:lineRule="exact"/>
              <w:rPr>
                <w:rFonts w:ascii="仿宋" w:hAnsi="仿宋" w:eastAsia="仿宋" w:cs="仿宋"/>
                <w:sz w:val="24"/>
              </w:rPr>
            </w:pPr>
            <w:r>
              <w:rPr>
                <w:rFonts w:hint="eastAsia" w:ascii="仿宋" w:hAnsi="仿宋" w:eastAsia="仿宋" w:cs="仿宋"/>
                <w:sz w:val="24"/>
              </w:rPr>
              <w:t>本项目为</w:t>
            </w:r>
            <w:r>
              <w:rPr>
                <w:rFonts w:hint="eastAsia" w:ascii="仿宋" w:hAnsi="仿宋" w:eastAsia="仿宋" w:cs="仿宋"/>
                <w:sz w:val="24"/>
                <w:u w:val="single"/>
              </w:rPr>
              <w:t>服务类</w:t>
            </w:r>
            <w:r>
              <w:rPr>
                <w:rFonts w:hint="eastAsia" w:ascii="仿宋" w:hAnsi="仿宋" w:eastAsia="仿宋" w:cs="仿宋"/>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72"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15</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评标方法</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u w:val="single"/>
              </w:rPr>
              <w:t>标项一</w:t>
            </w:r>
            <w:r>
              <w:rPr>
                <w:rFonts w:hint="eastAsia" w:ascii="仿宋" w:hAnsi="仿宋" w:eastAsia="仿宋" w:cs="仿宋"/>
                <w:sz w:val="24"/>
              </w:rPr>
              <w:t>为</w:t>
            </w:r>
            <w:r>
              <w:rPr>
                <w:rFonts w:hint="eastAsia" w:ascii="仿宋" w:hAnsi="仿宋" w:eastAsia="仿宋" w:cs="仿宋"/>
                <w:sz w:val="24"/>
                <w:u w:val="single"/>
              </w:rPr>
              <w:t>综合评分法</w:t>
            </w:r>
            <w:r>
              <w:rPr>
                <w:rFonts w:hint="eastAsia" w:ascii="仿宋" w:hAnsi="仿宋" w:eastAsia="仿宋" w:cs="仿宋"/>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8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16</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bl>
    <w:p>
      <w:pPr>
        <w:spacing w:line="360" w:lineRule="auto"/>
        <w:ind w:firstLine="482" w:firstLineChars="200"/>
        <w:rPr>
          <w:rFonts w:ascii="仿宋" w:hAnsi="仿宋" w:eastAsia="仿宋" w:cs="仿宋"/>
          <w:b/>
          <w:sz w:val="24"/>
        </w:rPr>
      </w:pPr>
      <w:r>
        <w:rPr>
          <w:rFonts w:hint="eastAsia" w:ascii="仿宋" w:hAnsi="仿宋" w:eastAsia="仿宋" w:cs="仿宋"/>
          <w:b/>
          <w:sz w:val="24"/>
        </w:rPr>
        <w:t>注：本项目通用总则条款与前附表等专用特别规定有冲突之处，以专用条款（特别规定）为准</w:t>
      </w:r>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br w:type="page"/>
      </w:r>
      <w:bookmarkEnd w:id="10"/>
      <w:bookmarkStart w:id="40" w:name="第三部分"/>
      <w:bookmarkStart w:id="41" w:name="_Toc164416483"/>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本交易文件适用于该项目的交易、投标、开标、资格审查及信用信息查询、评标、定标、合同、验收等行为（法律、法规另有规定的，从其规定）。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“采购人”系指交易公告中载明的本项目的采购人。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“采购机构”系指交易公告中载明的本项目的采购机构。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“供应商”系指是指响应交易、参加投标竞争的法人、其他组织或者自然人。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 “▲” 系指实质性要求条款，“★”系产品采购项目中单一产品或核心产品。</w:t>
      </w:r>
    </w:p>
    <w:p>
      <w:pPr>
        <w:snapToGrid w:val="0"/>
        <w:spacing w:line="360" w:lineRule="auto"/>
        <w:rPr>
          <w:rFonts w:ascii="仿宋" w:hAnsi="仿宋" w:eastAsia="仿宋" w:cs="仿宋"/>
          <w:kern w:val="0"/>
          <w:sz w:val="24"/>
        </w:rPr>
      </w:pPr>
      <w:r>
        <w:rPr>
          <w:rFonts w:hint="eastAsia" w:ascii="仿宋" w:hAnsi="仿宋" w:eastAsia="仿宋" w:cs="仿宋"/>
          <w:sz w:val="24"/>
        </w:rPr>
        <w:t>“</w:t>
      </w:r>
      <w:r>
        <w:rPr>
          <w:rFonts w:hint="eastAsia" w:ascii="仿宋" w:hAnsi="仿宋" w:eastAsia="仿宋" w:cs="仿宋"/>
          <w:b/>
          <w:sz w:val="24"/>
        </w:rPr>
        <w:t>（√）</w:t>
      </w:r>
      <w:r>
        <w:rPr>
          <w:rFonts w:hint="eastAsia" w:ascii="仿宋" w:hAnsi="仿宋" w:eastAsia="仿宋" w:cs="仿宋"/>
          <w:sz w:val="24"/>
        </w:rPr>
        <w:t>” 系指适用本项目的要求，“</w:t>
      </w:r>
      <w:r>
        <w:rPr>
          <w:rFonts w:hint="eastAsia" w:ascii="仿宋" w:hAnsi="仿宋" w:eastAsia="仿宋" w:cs="仿宋"/>
          <w:b/>
          <w:sz w:val="24"/>
        </w:rPr>
        <w:t>（  ）</w:t>
      </w:r>
      <w:r>
        <w:rPr>
          <w:rFonts w:hint="eastAsia" w:ascii="仿宋" w:hAnsi="仿宋" w:eastAsia="仿宋" w:cs="仿宋"/>
          <w:kern w:val="0"/>
          <w:sz w:val="24"/>
        </w:rPr>
        <w:t>”</w:t>
      </w:r>
      <w:r>
        <w:rPr>
          <w:rFonts w:hint="eastAsia" w:ascii="仿宋" w:hAnsi="仿宋" w:eastAsia="仿宋" w:cs="仿宋"/>
          <w:sz w:val="24"/>
        </w:rPr>
        <w:t>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仿宋" w:hAnsi="仿宋" w:eastAsia="仿宋" w:cs="仿宋"/>
          <w:sz w:val="24"/>
        </w:rPr>
      </w:pPr>
      <w:r>
        <w:rPr>
          <w:rFonts w:hint="eastAsia" w:ascii="仿宋" w:hAnsi="仿宋" w:eastAsia="仿宋" w:cs="仿宋"/>
          <w:sz w:val="24"/>
        </w:rPr>
        <w:t>3.2 节能环保要求</w:t>
      </w:r>
    </w:p>
    <w:p>
      <w:pPr>
        <w:spacing w:line="360" w:lineRule="auto"/>
        <w:ind w:firstLine="482" w:firstLineChars="200"/>
        <w:rPr>
          <w:rFonts w:ascii="仿宋" w:hAnsi="仿宋" w:eastAsia="仿宋" w:cs="仿宋"/>
          <w:sz w:val="24"/>
        </w:rPr>
      </w:pPr>
      <w:r>
        <w:rPr>
          <w:rFonts w:hint="eastAsia" w:ascii="仿宋" w:hAnsi="仿宋" w:eastAsia="仿宋" w:cs="仿宋"/>
          <w:b/>
          <w:sz w:val="24"/>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供应商所投的相应产品须为列入最新一期《关于印发节能产品政府采购品目清单的通知》财库〔2019〕19号的产品，并且提供该产品所在的节能产品政府采购清单页及所投产品国家确定的认证机构出具的、处于有效期之内的节能产品、环境标志产品认证证书，否则投标无效。</w:t>
      </w:r>
      <w:r>
        <w:rPr>
          <w:rFonts w:hint="eastAsia" w:ascii="仿宋" w:hAnsi="仿宋" w:eastAsia="仿宋" w:cs="仿宋"/>
          <w:sz w:val="24"/>
        </w:rPr>
        <w:t>（注：在最新一期节能产品品目清单发布之后开展的政府采购活动，执行最新一期节能清单。在此之前已经开展但尚未进入评审环节的政府采购活动，执行上期或最新一期品目清单。</w:t>
      </w:r>
      <w:r>
        <w:rPr>
          <w:rFonts w:hint="eastAsia" w:ascii="仿宋" w:hAnsi="仿宋" w:eastAsia="仿宋" w:cs="仿宋"/>
          <w:b/>
          <w:sz w:val="24"/>
        </w:rPr>
        <w:t>▲</w:t>
      </w:r>
      <w:r>
        <w:rPr>
          <w:rFonts w:hint="eastAsia" w:ascii="仿宋" w:hAnsi="仿宋" w:eastAsia="仿宋" w:cs="仿宋"/>
          <w:b/>
          <w:sz w:val="24"/>
          <w:szCs w:val="21"/>
        </w:rPr>
        <w:t>本项目如需采购节能品目清单中的政府强制采购的节能产品的，必须以强制采购的品目清单内产品投标，供应商未按要求提供品目清单内的节能产品或相关证明，投标无效。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供应商提供产品如是环境标志产品，应当优先提供《关于印发环境标志产品政府采购品目清单的通知》财库〔2019〕18号内产品，涉及项目评分条款加分项时，应当提供财库〔2019〕18号文件清单，并提供国家确定的认证机构出具的、处于有效期之内的环境标志产品认证证书。</w:t>
      </w:r>
    </w:p>
    <w:p>
      <w:pPr>
        <w:spacing w:line="360" w:lineRule="auto"/>
        <w:ind w:firstLine="480" w:firstLineChars="200"/>
        <w:rPr>
          <w:rFonts w:ascii="仿宋" w:hAnsi="仿宋" w:eastAsia="仿宋" w:cs="仿宋"/>
          <w:sz w:val="24"/>
        </w:rPr>
      </w:pPr>
      <w:r>
        <w:rPr>
          <w:rFonts w:hint="eastAsia" w:ascii="仿宋" w:hAnsi="仿宋" w:eastAsia="仿宋" w:cs="仿宋"/>
          <w:sz w:val="24"/>
        </w:rPr>
        <w:t>3.3</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3.3.2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1" w:firstLineChars="100"/>
        <w:rPr>
          <w:rFonts w:ascii="仿宋" w:hAnsi="仿宋" w:eastAsia="仿宋" w:cs="仿宋"/>
          <w:b/>
          <w:sz w:val="24"/>
        </w:rPr>
      </w:pPr>
      <w:r>
        <w:rPr>
          <w:rFonts w:hint="eastAsia" w:ascii="仿宋" w:hAnsi="仿宋" w:eastAsia="仿宋" w:cs="仿宋"/>
          <w:b/>
          <w:sz w:val="24"/>
        </w:rPr>
        <w:t>4.询问、质疑、投诉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17"/>
        <w:spacing w:line="360" w:lineRule="auto"/>
        <w:ind w:firstLine="0"/>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4.2供应商质疑</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.1提出质疑的供应商应当是参与所质疑项目采购活动的供应商。潜在供应商已依法获取其可质疑的采购文件的，可以对该文件提出质疑。</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2.1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2.2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.2.3对采购结果提出质疑的，质疑期限自采购结果公告期限届满之日起计算。对采购结果提出质疑的，采购人或采购机构负责答复。（详见前附表相关规定）</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w:t>
      </w:r>
      <w:r>
        <w:rPr>
          <w:rFonts w:hint="eastAsia" w:ascii="仿宋" w:hAnsi="仿宋" w:eastAsia="仿宋" w:cs="仿宋"/>
          <w:snapToGrid/>
          <w:color w:val="auto"/>
          <w:kern w:val="2"/>
          <w:sz w:val="24"/>
        </w:rPr>
        <w:t>供应商提出质疑应当提交质疑函和必要的证明材料。质疑函应当包括下列内容：</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4.2.3.1</w:t>
      </w:r>
      <w:r>
        <w:rPr>
          <w:rFonts w:hint="eastAsia" w:ascii="仿宋" w:hAnsi="仿宋" w:eastAsia="仿宋" w:cs="仿宋"/>
          <w:snapToGrid/>
          <w:color w:val="auto"/>
          <w:kern w:val="2"/>
          <w:sz w:val="24"/>
        </w:rPr>
        <w:t>供应商的姓名或者名称、地址、邮编、联系人及联系电话；</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4.2.3.2</w:t>
      </w:r>
      <w:r>
        <w:rPr>
          <w:rFonts w:hint="eastAsia" w:ascii="仿宋" w:hAnsi="仿宋" w:eastAsia="仿宋" w:cs="仿宋"/>
          <w:snapToGrid/>
          <w:color w:val="auto"/>
          <w:kern w:val="2"/>
          <w:sz w:val="24"/>
        </w:rPr>
        <w:t>质疑项目的名称、编号；</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4.2.3.3</w:t>
      </w:r>
      <w:r>
        <w:rPr>
          <w:rFonts w:hint="eastAsia" w:ascii="仿宋" w:hAnsi="仿宋" w:eastAsia="仿宋" w:cs="仿宋"/>
          <w:snapToGrid/>
          <w:color w:val="auto"/>
          <w:kern w:val="2"/>
          <w:sz w:val="24"/>
        </w:rPr>
        <w:t>具体、明确的质疑事项和与质疑事项相关的请求；</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4.2.3.4</w:t>
      </w:r>
      <w:r>
        <w:rPr>
          <w:rFonts w:hint="eastAsia" w:ascii="仿宋" w:hAnsi="仿宋" w:eastAsia="仿宋" w:cs="仿宋"/>
          <w:snapToGrid/>
          <w:color w:val="auto"/>
          <w:kern w:val="2"/>
          <w:sz w:val="24"/>
        </w:rPr>
        <w:t>事实依据；</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4.2.3.5</w:t>
      </w:r>
      <w:r>
        <w:rPr>
          <w:rFonts w:hint="eastAsia" w:ascii="仿宋" w:hAnsi="仿宋" w:eastAsia="仿宋" w:cs="仿宋"/>
          <w:snapToGrid/>
          <w:color w:val="auto"/>
          <w:kern w:val="2"/>
          <w:sz w:val="24"/>
        </w:rPr>
        <w:t>必要的法律依据；</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4.2.3.6</w:t>
      </w:r>
      <w:r>
        <w:rPr>
          <w:rFonts w:hint="eastAsia" w:ascii="仿宋" w:hAnsi="仿宋" w:eastAsia="仿宋" w:cs="仿宋"/>
          <w:snapToGrid/>
          <w:color w:val="auto"/>
          <w:kern w:val="2"/>
          <w:sz w:val="24"/>
        </w:rPr>
        <w:t>提出质疑的日期。</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rPr>
        <w:t>供应商提交的质疑函需一式三份。供应商为自然人的，应当由本人签字；供应商为法人或者其他组织的，应当由法定代表人、主要负责人，或者其授权代表签字或者盖章，并加盖公章。质疑函范本及制作说明详见附件2。</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4采购人负责供应商质疑答复。采购人委托采购代理机构采购的，采购代理机构在委托授权范围内作出答复。采购人或者采购机构应当在收到供应商的书面质疑后七个工作日内作出答复，并以书面形式通知质疑供应商和其他与质疑处理结果有利害关系的政府采购当事人，但答复的内容不得涉及商业秘密。</w:t>
      </w:r>
    </w:p>
    <w:p>
      <w:pPr>
        <w:pStyle w:val="17"/>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.5询问或者质疑事项可能影响采购结果的，采购人应当暂停签订合同，已经签订合同的，应当中止履行合同。</w:t>
      </w:r>
    </w:p>
    <w:p>
      <w:pPr>
        <w:pStyle w:val="17"/>
        <w:spacing w:line="360" w:lineRule="auto"/>
        <w:ind w:firstLine="434" w:firstLineChars="181"/>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4.2.6质疑接收人：详见前附表</w:t>
      </w:r>
    </w:p>
    <w:p>
      <w:pPr>
        <w:pStyle w:val="17"/>
        <w:spacing w:line="360" w:lineRule="auto"/>
        <w:ind w:firstLine="434" w:firstLineChars="181"/>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4.3供应商投诉</w:t>
      </w:r>
    </w:p>
    <w:p>
      <w:pPr>
        <w:pStyle w:val="17"/>
        <w:spacing w:line="360" w:lineRule="auto"/>
        <w:ind w:firstLine="434" w:firstLineChars="181"/>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4.3.1质疑供应商对采购人、采购机构的答复不满意或者采购人、采购机构未在规定的时间内作出答复的，可以在答复期满后十五个工作日内向同级政府采购监督管理部门提出投诉。</w:t>
      </w:r>
    </w:p>
    <w:p>
      <w:pPr>
        <w:pStyle w:val="17"/>
        <w:spacing w:line="360" w:lineRule="auto"/>
        <w:ind w:firstLine="434" w:firstLineChars="181"/>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4.3.2供应商投诉的事项不得超出已质疑事项的范围，基于质疑答复内容提出的投诉事项除外。</w:t>
      </w:r>
    </w:p>
    <w:p>
      <w:pPr>
        <w:pStyle w:val="17"/>
        <w:spacing w:line="360" w:lineRule="auto"/>
        <w:ind w:firstLine="434" w:firstLineChars="181"/>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4.3.3供应商投诉应当有明确的请求和必要的证明材料。</w:t>
      </w:r>
    </w:p>
    <w:p>
      <w:pPr>
        <w:pStyle w:val="17"/>
        <w:spacing w:line="360" w:lineRule="auto"/>
        <w:ind w:firstLine="434" w:firstLineChars="181"/>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4.3.5 以联合体形式参加政府采购活动的，其投诉应当由组成联合体的所有供应商共同提出。</w:t>
      </w:r>
    </w:p>
    <w:p>
      <w:pPr>
        <w:pStyle w:val="17"/>
        <w:spacing w:line="360" w:lineRule="auto"/>
        <w:ind w:firstLine="434" w:firstLineChars="181"/>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投诉书范本及制作说明详见附件3。</w:t>
      </w:r>
    </w:p>
    <w:p>
      <w:pPr>
        <w:pStyle w:val="219"/>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bookmarkStart w:id="42" w:name="_Hlt68072990"/>
      <w:bookmarkEnd w:id="42"/>
      <w:bookmarkStart w:id="43" w:name="_Hlt74730295"/>
      <w:bookmarkEnd w:id="43"/>
      <w:bookmarkStart w:id="44" w:name="_Hlt74707468"/>
      <w:bookmarkEnd w:id="44"/>
      <w:bookmarkStart w:id="45" w:name="_Hlt74729768"/>
      <w:bookmarkEnd w:id="45"/>
      <w:bookmarkStart w:id="46" w:name="_Hlt74714665"/>
      <w:bookmarkEnd w:id="46"/>
      <w:bookmarkStart w:id="47" w:name="_Hlt68057669"/>
      <w:bookmarkEnd w:id="47"/>
      <w:bookmarkStart w:id="48" w:name="_Hlt75236290"/>
      <w:bookmarkEnd w:id="48"/>
      <w:bookmarkStart w:id="49" w:name="_Toc91899879"/>
      <w:r>
        <w:rPr>
          <w:rFonts w:hint="eastAsia" w:ascii="仿宋" w:hAnsi="仿宋" w:eastAsia="仿宋" w:cs="仿宋"/>
          <w:b/>
          <w:sz w:val="32"/>
          <w:szCs w:val="20"/>
        </w:rPr>
        <w:t>二、交易文件</w:t>
      </w:r>
      <w:bookmarkEnd w:id="49"/>
      <w:r>
        <w:rPr>
          <w:rFonts w:hint="eastAsia" w:ascii="仿宋" w:hAnsi="仿宋" w:eastAsia="仿宋" w:cs="仿宋"/>
          <w:b/>
          <w:sz w:val="32"/>
          <w:szCs w:val="20"/>
        </w:rPr>
        <w:t>的构成、澄清、修改</w:t>
      </w:r>
    </w:p>
    <w:p>
      <w:pPr>
        <w:pStyle w:val="32"/>
        <w:spacing w:line="360" w:lineRule="auto"/>
        <w:ind w:right="-512" w:firstLine="576"/>
        <w:rPr>
          <w:rFonts w:ascii="仿宋" w:hAnsi="仿宋" w:eastAsia="仿宋" w:cs="仿宋"/>
          <w:b/>
          <w:sz w:val="24"/>
          <w:szCs w:val="24"/>
        </w:rPr>
      </w:pPr>
      <w:bookmarkStart w:id="50" w:name="_Toc91899880"/>
      <w:bookmarkStart w:id="51" w:name="_Hlt74730307"/>
      <w:r>
        <w:rPr>
          <w:rFonts w:hint="eastAsia" w:ascii="仿宋" w:hAnsi="仿宋" w:eastAsia="仿宋" w:cs="仿宋"/>
          <w:b/>
          <w:sz w:val="24"/>
          <w:szCs w:val="24"/>
        </w:rPr>
        <w:t>5．交易文件的构成</w:t>
      </w:r>
      <w:bookmarkEnd w:id="50"/>
    </w:p>
    <w:bookmarkEnd w:id="51"/>
    <w:p>
      <w:pPr>
        <w:pStyle w:val="32"/>
        <w:spacing w:line="360" w:lineRule="auto"/>
        <w:ind w:right="-512" w:firstLine="480" w:firstLineChars="200"/>
        <w:rPr>
          <w:rFonts w:ascii="仿宋" w:hAnsi="仿宋" w:eastAsia="仿宋" w:cs="仿宋"/>
          <w:sz w:val="24"/>
          <w:szCs w:val="24"/>
        </w:rPr>
      </w:pPr>
      <w:r>
        <w:rPr>
          <w:rFonts w:hint="eastAsia" w:ascii="仿宋" w:hAnsi="仿宋" w:eastAsia="仿宋" w:cs="仿宋"/>
          <w:sz w:val="24"/>
          <w:szCs w:val="24"/>
        </w:rPr>
        <w:t>5.1 交易文件包括下列文件及附件</w:t>
      </w:r>
    </w:p>
    <w:p>
      <w:pPr>
        <w:spacing w:line="360" w:lineRule="auto"/>
        <w:ind w:firstLine="960" w:firstLineChars="400"/>
        <w:rPr>
          <w:rFonts w:ascii="仿宋" w:hAnsi="仿宋" w:eastAsia="仿宋" w:cs="仿宋"/>
          <w:sz w:val="24"/>
        </w:rPr>
      </w:pPr>
      <w:r>
        <w:rPr>
          <w:rFonts w:hint="eastAsia" w:ascii="仿宋" w:hAnsi="仿宋" w:eastAsia="仿宋" w:cs="仿宋"/>
          <w:sz w:val="24"/>
        </w:rPr>
        <w:t>第一部分      交易公告</w:t>
      </w:r>
    </w:p>
    <w:p>
      <w:pPr>
        <w:spacing w:line="360" w:lineRule="auto"/>
        <w:ind w:firstLine="960" w:firstLineChars="400"/>
        <w:rPr>
          <w:rFonts w:ascii="仿宋" w:hAnsi="仿宋" w:eastAsia="仿宋" w:cs="仿宋"/>
          <w:sz w:val="24"/>
        </w:rPr>
      </w:pPr>
      <w:r>
        <w:rPr>
          <w:rFonts w:hint="eastAsia" w:ascii="仿宋" w:hAnsi="仿宋" w:eastAsia="仿宋" w:cs="仿宋"/>
          <w:sz w:val="24"/>
        </w:rPr>
        <w:t>第二部分      供应商须知</w:t>
      </w:r>
    </w:p>
    <w:p>
      <w:pPr>
        <w:spacing w:line="360" w:lineRule="auto"/>
        <w:ind w:firstLine="960" w:firstLineChars="400"/>
        <w:rPr>
          <w:rFonts w:ascii="仿宋" w:hAnsi="仿宋" w:eastAsia="仿宋" w:cs="仿宋"/>
          <w:sz w:val="24"/>
        </w:rPr>
      </w:pPr>
      <w:r>
        <w:rPr>
          <w:rFonts w:hint="eastAsia" w:ascii="仿宋" w:hAnsi="仿宋" w:eastAsia="仿宋" w:cs="仿宋"/>
          <w:sz w:val="24"/>
        </w:rPr>
        <w:t>第三部分      采购需求</w:t>
      </w:r>
    </w:p>
    <w:p>
      <w:pPr>
        <w:spacing w:line="360" w:lineRule="auto"/>
        <w:ind w:firstLine="960" w:firstLineChars="400"/>
        <w:rPr>
          <w:rFonts w:ascii="仿宋" w:hAnsi="仿宋" w:eastAsia="仿宋" w:cs="仿宋"/>
          <w:sz w:val="24"/>
        </w:rPr>
      </w:pPr>
      <w:r>
        <w:rPr>
          <w:rFonts w:hint="eastAsia" w:ascii="仿宋" w:hAnsi="仿宋" w:eastAsia="仿宋" w:cs="仿宋"/>
          <w:sz w:val="24"/>
        </w:rPr>
        <w:t>第四部分      评审办法</w:t>
      </w:r>
    </w:p>
    <w:p>
      <w:pPr>
        <w:spacing w:line="360" w:lineRule="auto"/>
        <w:ind w:firstLine="960" w:firstLineChars="400"/>
        <w:rPr>
          <w:rFonts w:ascii="仿宋" w:hAnsi="仿宋" w:eastAsia="仿宋" w:cs="仿宋"/>
          <w:sz w:val="24"/>
        </w:rPr>
      </w:pPr>
      <w:r>
        <w:rPr>
          <w:rFonts w:hint="eastAsia" w:ascii="仿宋" w:hAnsi="仿宋" w:eastAsia="仿宋" w:cs="仿宋"/>
          <w:sz w:val="24"/>
        </w:rPr>
        <w:t>第五部分      拟签订的合同文本</w:t>
      </w:r>
    </w:p>
    <w:p>
      <w:pPr>
        <w:spacing w:line="360" w:lineRule="auto"/>
        <w:ind w:firstLine="960" w:firstLineChars="400"/>
        <w:rPr>
          <w:rFonts w:ascii="仿宋" w:hAnsi="仿宋" w:eastAsia="仿宋" w:cs="仿宋"/>
          <w:sz w:val="24"/>
        </w:rPr>
      </w:pPr>
      <w:r>
        <w:rPr>
          <w:rFonts w:hint="eastAsia" w:ascii="仿宋" w:hAnsi="仿宋" w:eastAsia="仿宋" w:cs="仿宋"/>
          <w:sz w:val="24"/>
        </w:rPr>
        <w:t>第六部分      应提交的有关格式范例</w:t>
      </w:r>
    </w:p>
    <w:p>
      <w:pPr>
        <w:wordWrap w:val="0"/>
        <w:spacing w:line="360" w:lineRule="auto"/>
        <w:ind w:firstLine="480" w:firstLineChars="200"/>
        <w:jc w:val="left"/>
        <w:rPr>
          <w:rFonts w:ascii="仿宋" w:hAnsi="仿宋" w:eastAsia="仿宋" w:cs="仿宋"/>
          <w:bCs/>
          <w:sz w:val="24"/>
        </w:rPr>
      </w:pPr>
      <w:r>
        <w:rPr>
          <w:rFonts w:hint="eastAsia" w:ascii="仿宋" w:hAnsi="仿宋" w:eastAsia="仿宋" w:cs="仿宋"/>
          <w:sz w:val="24"/>
        </w:rPr>
        <w:t>5.2与本项目有关的</w:t>
      </w:r>
      <w:r>
        <w:rPr>
          <w:rFonts w:hint="eastAsia" w:ascii="仿宋" w:hAnsi="仿宋" w:eastAsia="仿宋" w:cs="仿宋"/>
          <w:bCs/>
          <w:sz w:val="24"/>
        </w:rPr>
        <w:t>澄清或者修改等公告、内容亦为交易文件的组成部分，供应商须自行于交易公告所在网站获取相关信息（浙江政府采购网）</w:t>
      </w:r>
      <w:r>
        <w:rPr>
          <w:rFonts w:hint="eastAsia" w:ascii="仿宋" w:hAnsi="仿宋" w:eastAsia="仿宋" w:cs="仿宋"/>
          <w:sz w:val="24"/>
        </w:rPr>
        <w:t>。</w:t>
      </w:r>
    </w:p>
    <w:p>
      <w:pPr>
        <w:pStyle w:val="32"/>
        <w:spacing w:line="360" w:lineRule="auto"/>
        <w:ind w:right="-512" w:firstLine="482" w:firstLineChars="200"/>
        <w:rPr>
          <w:rFonts w:ascii="仿宋" w:hAnsi="仿宋" w:eastAsia="仿宋" w:cs="仿宋"/>
          <w:b/>
          <w:sz w:val="24"/>
          <w:szCs w:val="24"/>
        </w:rPr>
      </w:pPr>
      <w:r>
        <w:rPr>
          <w:rFonts w:hint="eastAsia" w:ascii="仿宋" w:hAnsi="仿宋" w:eastAsia="仿宋" w:cs="仿宋"/>
          <w:b/>
          <w:sz w:val="24"/>
          <w:szCs w:val="24"/>
        </w:rPr>
        <w:t>6.交易文件的澄清、修改</w:t>
      </w:r>
    </w:p>
    <w:p>
      <w:pPr>
        <w:pStyle w:val="219"/>
        <w:snapToGrid w:val="0"/>
        <w:spacing w:before="0"/>
        <w:ind w:firstLine="480"/>
        <w:rPr>
          <w:rFonts w:ascii="仿宋" w:hAnsi="仿宋" w:eastAsia="仿宋" w:cs="仿宋"/>
        </w:rPr>
      </w:pPr>
      <w:r>
        <w:rPr>
          <w:rFonts w:hint="eastAsia" w:ascii="仿宋" w:hAnsi="仿宋" w:eastAsia="仿宋" w:cs="仿宋"/>
        </w:rPr>
        <w:t>6.1已获取交易文件的潜在供应商，若有问题需要澄清，应于投标截止时间前，以书面形式向采购机构提出，采购机构与采购人研究后，对认为有必要回答的问题，将以公告形式通知所有交易文件收受人。</w:t>
      </w:r>
    </w:p>
    <w:p>
      <w:pPr>
        <w:pStyle w:val="219"/>
        <w:snapToGrid w:val="0"/>
        <w:spacing w:before="0"/>
        <w:ind w:firstLine="480"/>
        <w:rPr>
          <w:rFonts w:ascii="仿宋" w:hAnsi="仿宋" w:eastAsia="仿宋" w:cs="仿宋"/>
        </w:rPr>
      </w:pPr>
      <w:r>
        <w:rPr>
          <w:rFonts w:hint="eastAsia" w:ascii="仿宋" w:hAnsi="仿宋" w:eastAsia="仿宋" w:cs="仿宋"/>
        </w:rPr>
        <w:t>6.2采购机构如对已发出的交易文件进行必要澄清或者修改的，将在发布交易公告的网站上发布更正、补遗公告，同时视情况延长投标截止时间和开标时间。该公告澄清或者修改的内容为交易文件的组成部分。</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w:t>
      </w:r>
      <w:r>
        <w:rPr>
          <w:rFonts w:hint="eastAsia" w:ascii="仿宋" w:hAnsi="仿宋" w:eastAsia="仿宋" w:cs="仿宋"/>
          <w:b/>
          <w:sz w:val="24"/>
          <w:szCs w:val="21"/>
        </w:rPr>
        <w:t>投标文件未按交易文件更正、补遗公告的澄清、修改的内容编制，又不符合实质性要求的，投标无效。</w:t>
      </w:r>
    </w:p>
    <w:p>
      <w:pPr>
        <w:pStyle w:val="2"/>
        <w:rPr>
          <w:rFonts w:ascii="仿宋" w:hAnsi="仿宋" w:eastAsia="仿宋" w:cs="仿宋"/>
          <w:sz w:val="18"/>
          <w:szCs w:val="18"/>
          <w:lang w:val="en-US"/>
        </w:rPr>
      </w:pPr>
    </w:p>
    <w:p>
      <w:pPr>
        <w:adjustRightInd/>
        <w:spacing w:line="360" w:lineRule="auto"/>
        <w:jc w:val="center"/>
        <w:outlineLvl w:val="0"/>
        <w:rPr>
          <w:rFonts w:ascii="仿宋" w:hAnsi="仿宋" w:eastAsia="仿宋" w:cs="仿宋"/>
          <w:b/>
          <w:sz w:val="30"/>
          <w:szCs w:val="20"/>
        </w:rPr>
      </w:pPr>
      <w:bookmarkStart w:id="52" w:name="_Hlt75236011"/>
      <w:bookmarkEnd w:id="52"/>
      <w:bookmarkStart w:id="53" w:name="_Toc91899884"/>
      <w:r>
        <w:rPr>
          <w:rFonts w:hint="eastAsia" w:ascii="仿宋" w:hAnsi="仿宋" w:eastAsia="仿宋" w:cs="仿宋"/>
          <w:b/>
          <w:sz w:val="30"/>
          <w:szCs w:val="20"/>
        </w:rPr>
        <w:t>三、投标</w:t>
      </w:r>
      <w:bookmarkEnd w:id="53"/>
    </w:p>
    <w:p>
      <w:pPr>
        <w:pStyle w:val="32"/>
        <w:spacing w:line="360" w:lineRule="auto"/>
        <w:ind w:right="-512" w:firstLine="482" w:firstLineChars="200"/>
        <w:rPr>
          <w:rFonts w:ascii="仿宋" w:hAnsi="仿宋" w:eastAsia="仿宋" w:cs="仿宋"/>
          <w:b/>
          <w:sz w:val="24"/>
          <w:szCs w:val="24"/>
        </w:rPr>
      </w:pPr>
      <w:bookmarkStart w:id="54" w:name="_Toc86216991"/>
      <w:bookmarkStart w:id="55" w:name="_Toc91899892"/>
      <w:r>
        <w:rPr>
          <w:rFonts w:hint="eastAsia" w:ascii="仿宋" w:hAnsi="仿宋" w:eastAsia="仿宋" w:cs="仿宋"/>
          <w:b/>
          <w:sz w:val="24"/>
          <w:szCs w:val="24"/>
        </w:rPr>
        <w:t>7.交易文件的获取</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详见交易公告中获取交易文件的时间期限、地点、方式。附件中直接下载仅供浏览使用。</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w:t>
      </w:r>
      <w:r>
        <w:rPr>
          <w:rFonts w:hint="eastAsia" w:ascii="仿宋" w:hAnsi="仿宋" w:eastAsia="仿宋" w:cs="仿宋"/>
          <w:b/>
          <w:sz w:val="24"/>
          <w:szCs w:val="21"/>
        </w:rPr>
        <w:t>未按照公告要求完成采购文件获取的，投标无效。</w:t>
      </w:r>
    </w:p>
    <w:p>
      <w:pPr>
        <w:pStyle w:val="32"/>
        <w:spacing w:line="360" w:lineRule="auto"/>
        <w:ind w:right="-512" w:firstLine="576"/>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2"/>
        <w:spacing w:line="360" w:lineRule="auto"/>
        <w:ind w:right="-512" w:firstLine="480" w:firstLineChars="200"/>
        <w:rPr>
          <w:rFonts w:ascii="仿宋" w:hAnsi="仿宋" w:eastAsia="仿宋" w:cs="仿宋"/>
          <w:sz w:val="24"/>
          <w:szCs w:val="24"/>
        </w:rPr>
      </w:pPr>
      <w:r>
        <w:rPr>
          <w:rFonts w:hint="eastAsia" w:ascii="仿宋" w:hAnsi="仿宋" w:eastAsia="仿宋" w:cs="仿宋"/>
          <w:sz w:val="24"/>
          <w:szCs w:val="24"/>
        </w:rPr>
        <w:t>采购人视采购项目的具体情况，如果采购人组织潜在供应商现场考察或者召开开标前答疑会的，潜在供应商按前附表的规定参加现场考察或者开标前答疑会。</w:t>
      </w:r>
      <w:r>
        <w:rPr>
          <w:rFonts w:hint="eastAsia" w:ascii="仿宋" w:hAnsi="仿宋" w:eastAsia="仿宋" w:cs="仿宋"/>
          <w:b/>
          <w:sz w:val="24"/>
          <w:szCs w:val="24"/>
        </w:rPr>
        <w:t>采购人不单独或分别组织只有一个供应商参加的现场考察和答疑会。</w:t>
      </w:r>
    </w:p>
    <w:p>
      <w:pPr>
        <w:pStyle w:val="32"/>
        <w:spacing w:line="360" w:lineRule="auto"/>
        <w:ind w:right="-512" w:firstLine="576"/>
        <w:rPr>
          <w:rFonts w:ascii="仿宋" w:hAnsi="仿宋" w:eastAsia="仿宋" w:cs="仿宋"/>
          <w:b/>
          <w:szCs w:val="24"/>
        </w:rPr>
      </w:pPr>
      <w:r>
        <w:rPr>
          <w:rFonts w:hint="eastAsia" w:ascii="仿宋" w:hAnsi="仿宋" w:eastAsia="仿宋" w:cs="仿宋"/>
          <w:b/>
          <w:kern w:val="28"/>
          <w:sz w:val="24"/>
          <w:szCs w:val="24"/>
        </w:rPr>
        <w:t>9.投标保证金</w:t>
      </w:r>
    </w:p>
    <w:p>
      <w:pPr>
        <w:pStyle w:val="219"/>
        <w:snapToGrid w:val="0"/>
        <w:spacing w:before="0"/>
        <w:ind w:firstLine="480"/>
        <w:rPr>
          <w:rFonts w:ascii="仿宋" w:hAnsi="仿宋" w:eastAsia="仿宋" w:cs="仿宋"/>
          <w:lang w:val="zh-CN"/>
        </w:rPr>
      </w:pPr>
      <w:r>
        <w:rPr>
          <w:rFonts w:hint="eastAsia" w:ascii="仿宋" w:hAnsi="仿宋" w:eastAsia="仿宋" w:cs="仿宋"/>
        </w:rPr>
        <w:t>本项目不收取投标保证金。</w:t>
      </w:r>
    </w:p>
    <w:p>
      <w:pPr>
        <w:pStyle w:val="32"/>
        <w:spacing w:line="360" w:lineRule="auto"/>
        <w:ind w:right="-512" w:firstLine="576"/>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投标文件及供应商与采购有关的来往通知、函件和文件均应使用中文。</w:t>
      </w:r>
    </w:p>
    <w:p>
      <w:pPr>
        <w:pStyle w:val="32"/>
        <w:spacing w:line="360" w:lineRule="auto"/>
        <w:ind w:right="-512" w:firstLine="576"/>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2" w:firstLineChars="200"/>
        <w:rPr>
          <w:rFonts w:ascii="仿宋" w:hAnsi="仿宋" w:eastAsia="仿宋" w:cs="仿宋"/>
          <w:b/>
          <w:bCs/>
          <w:sz w:val="24"/>
        </w:rPr>
      </w:pPr>
      <w:bookmarkStart w:id="56" w:name="_Toc91899887"/>
      <w:r>
        <w:rPr>
          <w:rFonts w:hint="eastAsia" w:ascii="仿宋" w:hAnsi="仿宋" w:eastAsia="仿宋" w:cs="仿宋"/>
          <w:b/>
          <w:bCs/>
          <w:sz w:val="24"/>
        </w:rPr>
        <w:t>11.1资格文件：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11.1.2落实政府采购政策需满足的资格要求；</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11.1.3本项目的特定资格要求。</w:t>
      </w:r>
    </w:p>
    <w:p>
      <w:pPr>
        <w:snapToGrid w:val="0"/>
        <w:spacing w:line="360" w:lineRule="auto"/>
        <w:ind w:firstLine="482" w:firstLineChars="200"/>
        <w:rPr>
          <w:rFonts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2商务技术</w:t>
      </w:r>
      <w:r>
        <w:rPr>
          <w:rFonts w:hint="eastAsia" w:ascii="仿宋" w:hAnsi="仿宋" w:eastAsia="仿宋" w:cs="仿宋"/>
          <w:b/>
          <w:bCs/>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6</w:t>
      </w:r>
      <w:r>
        <w:rPr>
          <w:rFonts w:hint="eastAsia" w:ascii="仿宋" w:hAnsi="仿宋" w:eastAsia="仿宋" w:cs="仿宋"/>
          <w:sz w:val="24"/>
          <w:lang w:val="zh-CN"/>
        </w:rPr>
        <w:t>政府采购供应商廉洁自律承诺书。</w:t>
      </w:r>
    </w:p>
    <w:p>
      <w:pPr>
        <w:snapToGrid w:val="0"/>
        <w:spacing w:line="360" w:lineRule="auto"/>
        <w:ind w:firstLine="482" w:firstLineChars="200"/>
        <w:rPr>
          <w:rFonts w:ascii="仿宋" w:hAnsi="仿宋" w:eastAsia="仿宋" w:cs="仿宋"/>
          <w:b/>
          <w:bCs/>
          <w:sz w:val="24"/>
          <w:u w:val="single"/>
          <w:lang w:val="zh-CN"/>
        </w:rPr>
      </w:pPr>
      <w:r>
        <w:rPr>
          <w:rFonts w:hint="eastAsia" w:ascii="仿宋" w:hAnsi="仿宋" w:eastAsia="仿宋" w:cs="仿宋"/>
          <w:b/>
          <w:bCs/>
          <w:kern w:val="0"/>
          <w:sz w:val="24"/>
          <w:lang w:val="zh-CN"/>
        </w:rPr>
        <w:t>11.</w:t>
      </w:r>
      <w:r>
        <w:rPr>
          <w:rFonts w:hint="eastAsia" w:ascii="仿宋" w:hAnsi="仿宋" w:eastAsia="仿宋" w:cs="仿宋"/>
          <w:b/>
          <w:bCs/>
          <w:kern w:val="0"/>
          <w:sz w:val="24"/>
        </w:rPr>
        <w:t>3</w:t>
      </w:r>
      <w:r>
        <w:rPr>
          <w:rFonts w:hint="eastAsia" w:ascii="仿宋" w:hAnsi="仿宋" w:eastAsia="仿宋" w:cs="仿宋"/>
          <w:b/>
          <w:bCs/>
          <w:sz w:val="24"/>
        </w:rPr>
        <w:t xml:space="preserve">报价文件：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供应商提供虚假材料投标的，投标无效。</w:t>
      </w:r>
    </w:p>
    <w:p>
      <w:pPr>
        <w:pStyle w:val="219"/>
        <w:snapToGrid w:val="0"/>
        <w:spacing w:before="0"/>
        <w:ind w:firstLine="482"/>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w:t>
      </w:r>
      <w:r>
        <w:rPr>
          <w:rFonts w:hint="eastAsia" w:ascii="仿宋" w:hAnsi="仿宋" w:eastAsia="仿宋" w:cs="仿宋"/>
          <w:b/>
          <w:szCs w:val="24"/>
        </w:rPr>
        <w:t>投标文件的编制</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▲投标文件未按本条规定的格式编制的，投标无效；</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12.1投标文件分为资格文件、商务技术文件、报价文件三部分。各供应商在编制投标文件时请按照交易文件第六部分规定的格式进行，混乱的编排导致投标文件被误读或评标委员会查找不到有效文件是供应商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12.2供应商进行电子投标应安装客户端软件—“政采云电子交易客户端”，并按照交易文件和电子交易平台的要求编制并加密投标文件。供应商未按规定加密的投标文件，电子交易平台将拒收并提示。</w:t>
      </w:r>
    </w:p>
    <w:bookmarkEnd w:id="56"/>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pStyle w:val="219"/>
        <w:snapToGrid w:val="0"/>
        <w:spacing w:before="0"/>
        <w:ind w:firstLine="482"/>
        <w:rPr>
          <w:rFonts w:ascii="仿宋" w:hAnsi="仿宋" w:eastAsia="仿宋" w:cs="仿宋"/>
          <w:b/>
          <w:szCs w:val="24"/>
        </w:rPr>
      </w:pPr>
      <w:r>
        <w:rPr>
          <w:rFonts w:hint="eastAsia" w:ascii="仿宋" w:hAnsi="仿宋" w:eastAsia="仿宋" w:cs="仿宋"/>
          <w:b/>
          <w:szCs w:val="24"/>
        </w:rPr>
        <w:t>12.4纸质备份文件（如有）的制作要求：</w:t>
      </w:r>
    </w:p>
    <w:p>
      <w:pPr>
        <w:pStyle w:val="219"/>
        <w:snapToGrid w:val="0"/>
        <w:spacing w:before="0"/>
        <w:ind w:firstLine="480"/>
        <w:rPr>
          <w:rFonts w:ascii="仿宋" w:hAnsi="仿宋" w:eastAsia="仿宋" w:cs="仿宋"/>
          <w:szCs w:val="24"/>
        </w:rPr>
      </w:pPr>
      <w:r>
        <w:rPr>
          <w:rFonts w:hint="eastAsia" w:ascii="仿宋" w:hAnsi="仿宋" w:eastAsia="仿宋" w:cs="仿宋"/>
          <w:szCs w:val="24"/>
        </w:rPr>
        <w:t>12.4.1供应商制作纸质投标文件须在投标文件封面上标明“正本”与“副本”字样、项目名称与标项号，并加盖供应商公章。正本内容与副本不一致时，以正本为准。</w:t>
      </w:r>
    </w:p>
    <w:p>
      <w:pPr>
        <w:pStyle w:val="219"/>
        <w:snapToGrid w:val="0"/>
        <w:spacing w:before="0"/>
        <w:ind w:firstLine="480"/>
        <w:rPr>
          <w:rFonts w:ascii="仿宋" w:hAnsi="仿宋" w:eastAsia="仿宋" w:cs="仿宋"/>
          <w:szCs w:val="24"/>
        </w:rPr>
      </w:pPr>
      <w:r>
        <w:rPr>
          <w:rFonts w:hint="eastAsia" w:ascii="仿宋" w:hAnsi="仿宋" w:eastAsia="仿宋" w:cs="仿宋"/>
          <w:szCs w:val="24"/>
        </w:rPr>
        <w:t>12.4.2投标文件正本应使用不能擦去的墨水打印或书写</w:t>
      </w:r>
      <w:r>
        <w:rPr>
          <w:rFonts w:hint="eastAsia" w:ascii="仿宋" w:hAnsi="仿宋" w:eastAsia="仿宋" w:cs="仿宋"/>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12.4.3全套投标文件应无涂改和行间插字，除非这些删改是根据采购机构要求进行，或者是供应商造成的必须修改的错误。所修改处应由法定代表人或其授权代表签字盖章予以确认。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12.4.4 投标文件建议采用A4幅面，按顺序统一编目编码装订成册。</w:t>
      </w:r>
      <w:r>
        <w:rPr>
          <w:rFonts w:hint="eastAsia" w:ascii="仿宋" w:hAnsi="仿宋" w:eastAsia="仿宋" w:cs="仿宋"/>
          <w:b/>
          <w:sz w:val="24"/>
        </w:rPr>
        <w:t>提倡双面打印</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13.投标文件的装订、签署、盖章</w:t>
      </w:r>
    </w:p>
    <w:p>
      <w:pPr>
        <w:pStyle w:val="219"/>
        <w:snapToGrid w:val="0"/>
        <w:spacing w:before="0"/>
        <w:ind w:firstLine="480"/>
        <w:rPr>
          <w:rFonts w:ascii="仿宋" w:hAnsi="仿宋" w:eastAsia="仿宋" w:cs="仿宋"/>
          <w:b/>
        </w:rPr>
      </w:pPr>
      <w:r>
        <w:rPr>
          <w:rFonts w:hint="eastAsia" w:ascii="仿宋" w:hAnsi="仿宋" w:eastAsia="仿宋" w:cs="仿宋"/>
          <w:szCs w:val="24"/>
        </w:rPr>
        <w:t>13.1投标文件按照交易文件第六部分格式要</w:t>
      </w:r>
      <w:r>
        <w:rPr>
          <w:rFonts w:hint="eastAsia" w:ascii="仿宋" w:hAnsi="仿宋" w:eastAsia="仿宋" w:cs="仿宋"/>
        </w:rPr>
        <w:t>求进行签署、盖章。</w:t>
      </w:r>
      <w:r>
        <w:rPr>
          <w:rFonts w:hint="eastAsia" w:ascii="仿宋" w:hAnsi="仿宋" w:eastAsia="仿宋" w:cs="仿宋"/>
          <w:b/>
        </w:rPr>
        <w:t>▲供应商的投标文件未按照交易文件要求签署、盖章的，其投标无效</w:t>
      </w:r>
      <w:r>
        <w:rPr>
          <w:rFonts w:hint="eastAsia" w:ascii="仿宋" w:hAnsi="仿宋" w:eastAsia="仿宋" w:cs="仿宋"/>
          <w:szCs w:val="24"/>
        </w:rPr>
        <w:t>。</w:t>
      </w:r>
    </w:p>
    <w:p>
      <w:pPr>
        <w:pStyle w:val="219"/>
        <w:snapToGrid w:val="0"/>
        <w:spacing w:before="0"/>
        <w:ind w:firstLine="480"/>
        <w:rPr>
          <w:rFonts w:ascii="仿宋" w:hAnsi="仿宋" w:eastAsia="仿宋" w:cs="仿宋"/>
          <w:szCs w:val="24"/>
        </w:rPr>
      </w:pPr>
      <w:r>
        <w:rPr>
          <w:rFonts w:hint="eastAsia" w:ascii="仿宋" w:hAnsi="仿宋" w:eastAsia="仿宋" w:cs="仿宋"/>
        </w:rPr>
        <w:t>13.2为确保网上操作合法、有效和安全，供应商应当在投标截止时间前完成在“政府采购云平台”的身份认证，确保在电子投标过程中能够对相关数据电文进行加密和使用电子签章。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纸质备份文件（如有）须将投标文件的资格文件、商务技术文件、报价文件</w:t>
      </w:r>
      <w:r>
        <w:rPr>
          <w:rFonts w:hint="eastAsia" w:ascii="仿宋" w:hAnsi="仿宋" w:eastAsia="仿宋" w:cs="仿宋"/>
          <w:b/>
          <w:sz w:val="24"/>
        </w:rPr>
        <w:t>三</w:t>
      </w:r>
      <w:r>
        <w:rPr>
          <w:rFonts w:hint="eastAsia" w:ascii="仿宋" w:hAnsi="仿宋" w:eastAsia="仿宋" w:cs="仿宋"/>
          <w:sz w:val="24"/>
        </w:rPr>
        <w:t>部分分别装订成册，投标文件的装订必须采用</w:t>
      </w:r>
      <w:r>
        <w:rPr>
          <w:rFonts w:hint="eastAsia" w:ascii="仿宋" w:hAnsi="仿宋" w:eastAsia="仿宋" w:cs="仿宋"/>
          <w:b/>
          <w:sz w:val="24"/>
        </w:rPr>
        <w:t>胶订或线订</w:t>
      </w:r>
      <w:r>
        <w:rPr>
          <w:rFonts w:hint="eastAsia" w:ascii="仿宋" w:hAnsi="仿宋" w:eastAsia="仿宋" w:cs="仿宋"/>
          <w:sz w:val="24"/>
        </w:rPr>
        <w:t>形式，不得采用活页装订方式（胶订或线订以外装订形式视为活页装订）。</w:t>
      </w:r>
      <w:r>
        <w:rPr>
          <w:rFonts w:hint="eastAsia" w:ascii="仿宋" w:hAnsi="仿宋" w:eastAsia="仿宋" w:cs="仿宋"/>
          <w:b/>
          <w:sz w:val="24"/>
        </w:rPr>
        <w:t>▲对不符合装订要求的投标文件，按投标无效处理。</w:t>
      </w:r>
    </w:p>
    <w:p>
      <w:pPr>
        <w:pStyle w:val="219"/>
        <w:snapToGrid w:val="0"/>
        <w:spacing w:before="0"/>
        <w:ind w:firstLine="480"/>
        <w:rPr>
          <w:rFonts w:ascii="仿宋" w:hAnsi="仿宋" w:eastAsia="仿宋" w:cs="仿宋"/>
          <w:szCs w:val="24"/>
        </w:rPr>
      </w:pPr>
      <w:r>
        <w:rPr>
          <w:rFonts w:hint="eastAsia" w:ascii="仿宋" w:hAnsi="仿宋" w:eastAsia="仿宋" w:cs="仿宋"/>
        </w:rPr>
        <w:t>13.3交易文件对投标文件签署、盖章的要求适用于电子签章（盖章）。</w:t>
      </w:r>
    </w:p>
    <w:p>
      <w:pPr>
        <w:pStyle w:val="219"/>
        <w:spacing w:before="0"/>
        <w:ind w:firstLine="482"/>
        <w:rPr>
          <w:rFonts w:ascii="仿宋" w:hAnsi="仿宋" w:eastAsia="仿宋" w:cs="仿宋"/>
          <w:b/>
          <w:szCs w:val="24"/>
        </w:rPr>
      </w:pPr>
      <w:r>
        <w:rPr>
          <w:rFonts w:hint="eastAsia" w:ascii="仿宋" w:hAnsi="仿宋" w:eastAsia="仿宋" w:cs="仿宋"/>
          <w:b/>
        </w:rPr>
        <w:t xml:space="preserve">14. </w:t>
      </w:r>
      <w:r>
        <w:rPr>
          <w:rFonts w:hint="eastAsia" w:ascii="仿宋" w:hAnsi="仿宋" w:eastAsia="仿宋" w:cs="仿宋"/>
          <w:b/>
          <w:szCs w:val="24"/>
        </w:rPr>
        <w:t>投标文件的提交、补充、修改、撤回</w:t>
      </w:r>
    </w:p>
    <w:p>
      <w:pPr>
        <w:pStyle w:val="219"/>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9"/>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219"/>
        <w:spacing w:before="0"/>
        <w:ind w:firstLine="480"/>
        <w:rPr>
          <w:rFonts w:ascii="仿宋" w:hAnsi="仿宋" w:eastAsia="仿宋" w:cs="仿宋"/>
          <w:szCs w:val="24"/>
        </w:rPr>
      </w:pPr>
      <w:r>
        <w:rPr>
          <w:rFonts w:hint="eastAsia" w:ascii="仿宋" w:hAnsi="仿宋" w:eastAsia="仿宋" w:cs="仿宋"/>
          <w:szCs w:val="24"/>
        </w:rPr>
        <w:t>14.3采购机构可以视情况延长投标文件提交的截止时间。在上述情况下，采购机构与供应商以前在投标截止期方面的全部权利、责任和义务，将适用于延长至新的投标截止期。</w:t>
      </w:r>
    </w:p>
    <w:p>
      <w:pPr>
        <w:pStyle w:val="219"/>
        <w:spacing w:before="0"/>
        <w:ind w:firstLine="480"/>
        <w:rPr>
          <w:rFonts w:ascii="仿宋" w:hAnsi="仿宋" w:eastAsia="仿宋" w:cs="仿宋"/>
          <w:szCs w:val="24"/>
        </w:rPr>
      </w:pPr>
      <w:r>
        <w:rPr>
          <w:rFonts w:hint="eastAsia" w:ascii="仿宋" w:hAnsi="仿宋" w:eastAsia="仿宋" w:cs="仿宋"/>
          <w:szCs w:val="24"/>
        </w:rPr>
        <w:t>14.4投标文件备份：供应商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pPr>
        <w:pStyle w:val="219"/>
        <w:spacing w:before="0"/>
        <w:ind w:firstLine="480"/>
        <w:rPr>
          <w:rFonts w:ascii="仿宋" w:hAnsi="仿宋" w:eastAsia="仿宋" w:cs="仿宋"/>
          <w:szCs w:val="24"/>
        </w:rPr>
      </w:pPr>
      <w:r>
        <w:rPr>
          <w:rFonts w:hint="eastAsia" w:ascii="仿宋" w:hAnsi="仿宋" w:eastAsia="仿宋" w:cs="仿宋"/>
          <w:szCs w:val="24"/>
        </w:rPr>
        <w:t>14.4.1 供应商的补充、修改文件，应按本须知规定编制、密封、标志和递交，如果一份投标文件有几份函件时，应注明哪一份有效，否则所作修改视为无效。</w:t>
      </w:r>
    </w:p>
    <w:p>
      <w:pPr>
        <w:pStyle w:val="219"/>
        <w:spacing w:before="0"/>
        <w:ind w:firstLine="480"/>
        <w:rPr>
          <w:rFonts w:ascii="仿宋" w:hAnsi="仿宋" w:eastAsia="仿宋" w:cs="仿宋"/>
          <w:szCs w:val="24"/>
        </w:rPr>
      </w:pPr>
      <w:r>
        <w:rPr>
          <w:rFonts w:hint="eastAsia" w:ascii="仿宋" w:hAnsi="仿宋" w:eastAsia="仿宋" w:cs="仿宋"/>
          <w:szCs w:val="24"/>
        </w:rPr>
        <w:t>14.4.2供应商对投标文件的修改均要加以说明，否则其修改将被视为无效。</w:t>
      </w:r>
    </w:p>
    <w:p>
      <w:pPr>
        <w:pStyle w:val="219"/>
        <w:spacing w:before="0"/>
        <w:ind w:firstLine="480"/>
        <w:rPr>
          <w:rFonts w:ascii="仿宋" w:hAnsi="仿宋" w:eastAsia="仿宋" w:cs="仿宋"/>
          <w:szCs w:val="24"/>
        </w:rPr>
      </w:pPr>
      <w:r>
        <w:rPr>
          <w:rFonts w:hint="eastAsia" w:ascii="仿宋" w:hAnsi="仿宋" w:eastAsia="仿宋" w:cs="仿宋"/>
          <w:szCs w:val="24"/>
        </w:rPr>
        <w:t>14.4.3供应商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219"/>
        <w:spacing w:before="0"/>
        <w:ind w:firstLine="480"/>
        <w:rPr>
          <w:rFonts w:ascii="仿宋" w:hAnsi="仿宋" w:eastAsia="仿宋" w:cs="仿宋"/>
          <w:szCs w:val="24"/>
        </w:rPr>
      </w:pPr>
      <w:r>
        <w:rPr>
          <w:rFonts w:hint="eastAsia" w:ascii="仿宋" w:hAnsi="仿宋" w:eastAsia="仿宋" w:cs="仿宋"/>
          <w:szCs w:val="24"/>
        </w:rPr>
        <w:t>14.4.4</w:t>
      </w:r>
      <w:r>
        <w:rPr>
          <w:rFonts w:hint="eastAsia" w:ascii="仿宋" w:hAnsi="仿宋" w:eastAsia="仿宋" w:cs="仿宋"/>
        </w:rPr>
        <w:t>在开标后规定的投标有效期内</w:t>
      </w:r>
      <w:r>
        <w:rPr>
          <w:rFonts w:hint="eastAsia" w:ascii="仿宋" w:hAnsi="仿宋" w:eastAsia="仿宋" w:cs="仿宋"/>
          <w:szCs w:val="24"/>
        </w:rPr>
        <w:t>，供应商不能撤销投标文件。</w:t>
      </w:r>
    </w:p>
    <w:p>
      <w:pPr>
        <w:snapToGrid w:val="0"/>
        <w:spacing w:line="360" w:lineRule="auto"/>
        <w:rPr>
          <w:rFonts w:ascii="仿宋" w:hAnsi="仿宋" w:eastAsia="仿宋" w:cs="仿宋"/>
          <w:bCs/>
          <w:sz w:val="24"/>
        </w:rPr>
      </w:pPr>
      <w:r>
        <w:rPr>
          <w:rFonts w:hint="eastAsia" w:ascii="仿宋" w:hAnsi="仿宋" w:eastAsia="仿宋" w:cs="仿宋"/>
          <w:bCs/>
          <w:sz w:val="24"/>
        </w:rPr>
        <w:t>15. 备份投标文件（如有）以及投标文件的递交</w:t>
      </w:r>
    </w:p>
    <w:p>
      <w:pPr>
        <w:pStyle w:val="219"/>
        <w:spacing w:before="0"/>
        <w:ind w:firstLine="480"/>
        <w:rPr>
          <w:rFonts w:ascii="仿宋" w:hAnsi="仿宋" w:eastAsia="仿宋" w:cs="仿宋"/>
          <w:b/>
          <w:szCs w:val="24"/>
        </w:rPr>
      </w:pPr>
      <w:r>
        <w:rPr>
          <w:rFonts w:hint="eastAsia" w:ascii="仿宋" w:hAnsi="仿宋" w:eastAsia="仿宋" w:cs="仿宋"/>
          <w:szCs w:val="24"/>
        </w:rPr>
        <w:t>15.1备份投标文件须</w:t>
      </w:r>
      <w:r>
        <w:rPr>
          <w:rFonts w:hint="eastAsia" w:ascii="仿宋" w:hAnsi="仿宋" w:eastAsia="仿宋" w:cs="仿宋"/>
          <w:b/>
          <w:szCs w:val="24"/>
        </w:rPr>
        <w:t>密封包装</w:t>
      </w:r>
      <w:r>
        <w:rPr>
          <w:rFonts w:hint="eastAsia" w:ascii="仿宋" w:hAnsi="仿宋" w:eastAsia="仿宋" w:cs="仿宋"/>
          <w:szCs w:val="24"/>
        </w:rPr>
        <w:t>，密封包装指：所有投标文件应密封包装，包含资格文件、商务技术文件、报价文件三部分。其中，报价文件必须单独密封，未单独密封的，在开标时发生报价泄露的，由供应商自行承担相关责任</w:t>
      </w:r>
      <w:r>
        <w:rPr>
          <w:rFonts w:hint="eastAsia" w:ascii="仿宋" w:hAnsi="仿宋" w:eastAsia="仿宋" w:cs="仿宋"/>
          <w:b/>
          <w:szCs w:val="24"/>
        </w:rPr>
        <w:t>。没有密封包装的投标文件，将被拒收。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15.2所有备份投标文件包装封面物应写明项目名称、供应商名称(联合体投标的，包装物封面需注明联合体投标，并注明联合体成员各方的名称和联合体协议中约定的牵头人的名称)。</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15.3电子备份投标文件须在“政采云投标客户端”制作生成，并储存在DVD光盘中。备份投标文件应当密封包装并在包装上加盖公章并注明投标项目名称，供应商名称(联合体投标的，包装物封面需注明联合体投标，并注明联合体成员各方的名称和联合体协议中约定的牵头人的名称)</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▲不符合上述制作、存储、密封规定的备份投标文件将被视为无效或者被拒绝接收。</w:t>
      </w:r>
    </w:p>
    <w:p>
      <w:pPr>
        <w:snapToGrid w:val="0"/>
        <w:spacing w:line="360" w:lineRule="auto"/>
        <w:ind w:firstLine="482" w:firstLineChars="200"/>
        <w:rPr>
          <w:rFonts w:ascii="仿宋" w:hAnsi="仿宋" w:eastAsia="仿宋" w:cs="仿宋"/>
          <w:sz w:val="24"/>
        </w:rPr>
      </w:pPr>
      <w:r>
        <w:rPr>
          <w:rFonts w:hint="eastAsia" w:ascii="仿宋" w:hAnsi="仿宋" w:eastAsia="仿宋" w:cs="仿宋"/>
          <w:b/>
          <w:sz w:val="24"/>
        </w:rPr>
        <w:t>▲供应商仅提交备份投标文件，没有在电子交易平台传输递交投标文件的，投标无效。</w:t>
      </w:r>
    </w:p>
    <w:p>
      <w:pPr>
        <w:pStyle w:val="219"/>
        <w:ind w:firstLine="480"/>
        <w:rPr>
          <w:rFonts w:ascii="仿宋" w:hAnsi="仿宋" w:eastAsia="仿宋" w:cs="仿宋"/>
          <w:szCs w:val="24"/>
        </w:rPr>
      </w:pPr>
      <w:r>
        <w:rPr>
          <w:rFonts w:hint="eastAsia" w:ascii="仿宋" w:hAnsi="仿宋" w:eastAsia="仿宋" w:cs="仿宋"/>
          <w:szCs w:val="24"/>
        </w:rPr>
        <w:t>15.4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9"/>
        <w:spacing w:before="0"/>
        <w:ind w:firstLine="480"/>
        <w:rPr>
          <w:rFonts w:ascii="仿宋" w:hAnsi="仿宋" w:eastAsia="仿宋" w:cs="仿宋"/>
          <w:szCs w:val="24"/>
        </w:rPr>
      </w:pPr>
      <w:r>
        <w:rPr>
          <w:rFonts w:hint="eastAsia" w:ascii="仿宋" w:hAnsi="仿宋" w:eastAsia="仿宋" w:cs="仿宋"/>
          <w:szCs w:val="24"/>
        </w:rPr>
        <w:t>15.5采购机构可以视情况延长投标文件提交的截止时间。在上述情况下，采购机构与供应商以前在投标截止期方面的全部权利、责任和义务，将适用于延长至新的投标截止期。</w:t>
      </w:r>
    </w:p>
    <w:p>
      <w:pPr>
        <w:pStyle w:val="219"/>
        <w:spacing w:before="0"/>
        <w:ind w:firstLine="480"/>
        <w:rPr>
          <w:rFonts w:ascii="仿宋" w:hAnsi="仿宋" w:eastAsia="仿宋" w:cs="仿宋"/>
          <w:szCs w:val="24"/>
        </w:rPr>
      </w:pPr>
      <w:r>
        <w:rPr>
          <w:rFonts w:hint="eastAsia" w:ascii="仿宋" w:hAnsi="仿宋" w:eastAsia="仿宋" w:cs="仿宋"/>
          <w:szCs w:val="24"/>
        </w:rPr>
        <w:t>15.6如项目须备份投标文件，</w:t>
      </w:r>
      <w:r>
        <w:rPr>
          <w:rFonts w:hint="eastAsia" w:ascii="仿宋" w:hAnsi="仿宋" w:eastAsia="仿宋" w:cs="仿宋"/>
        </w:rPr>
        <w:t>供应商应按“交易公告”及前附表规定的时间、地点完成采购文件获取手续并将投标文件提交给</w:t>
      </w:r>
      <w:r>
        <w:rPr>
          <w:rFonts w:hint="eastAsia" w:ascii="仿宋" w:hAnsi="仿宋" w:eastAsia="仿宋" w:cs="仿宋"/>
          <w:szCs w:val="24"/>
        </w:rPr>
        <w:t>采购机构</w:t>
      </w:r>
      <w:r>
        <w:rPr>
          <w:rFonts w:hint="eastAsia" w:ascii="仿宋" w:hAnsi="仿宋" w:eastAsia="仿宋" w:cs="仿宋"/>
        </w:rPr>
        <w:t>，</w:t>
      </w:r>
      <w:r>
        <w:rPr>
          <w:rFonts w:hint="eastAsia" w:ascii="仿宋" w:hAnsi="仿宋" w:eastAsia="仿宋" w:cs="仿宋"/>
          <w:szCs w:val="24"/>
        </w:rPr>
        <w:t>采购机构</w:t>
      </w:r>
      <w:r>
        <w:rPr>
          <w:rFonts w:hint="eastAsia" w:ascii="仿宋" w:hAnsi="仿宋" w:eastAsia="仿宋" w:cs="仿宋"/>
        </w:rPr>
        <w:t>将拒绝接受逾期送达的投标文件和未按公告要求完成采购文件获取的供应商递交的投标文件。</w:t>
      </w:r>
    </w:p>
    <w:bookmarkEnd w:id="54"/>
    <w:bookmarkEnd w:id="55"/>
    <w:p>
      <w:pPr>
        <w:pStyle w:val="219"/>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24"/>
        <w:spacing w:line="360" w:lineRule="auto"/>
        <w:ind w:firstLine="360" w:firstLineChars="150"/>
        <w:rPr>
          <w:rFonts w:ascii="仿宋" w:hAnsi="仿宋" w:eastAsia="仿宋" w:cs="仿宋"/>
          <w:szCs w:val="21"/>
        </w:rPr>
      </w:pPr>
      <w:r>
        <w:rPr>
          <w:rFonts w:hint="eastAsia" w:ascii="仿宋" w:hAnsi="仿宋" w:eastAsia="仿宋" w:cs="仿宋"/>
          <w:szCs w:val="21"/>
        </w:rPr>
        <w:t>有交易文件第四部分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219"/>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供应商的投标文件中承</w:t>
      </w:r>
      <w:r>
        <w:rPr>
          <w:rFonts w:hint="eastAsia" w:ascii="仿宋" w:hAnsi="仿宋" w:eastAsia="仿宋" w:cs="仿宋"/>
          <w:b/>
          <w:sz w:val="24"/>
          <w:szCs w:val="21"/>
        </w:rPr>
        <w:t>诺的投标有效期少于交易文件中载明的投标有效期的，投标无效。</w:t>
      </w:r>
    </w:p>
    <w:p>
      <w:pPr>
        <w:pStyle w:val="219"/>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219"/>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17.3在原定投标有效期满之前，如果出现特殊情况，采购机构可以以公告形式通知供应商延长投标有效期。供应商同意延长的，不得要求或被允许修改其投标文件，供应商拒绝延长的，其投标无效。</w:t>
      </w:r>
    </w:p>
    <w:p>
      <w:pPr>
        <w:pStyle w:val="219"/>
        <w:spacing w:before="0"/>
        <w:ind w:firstLine="643"/>
        <w:rPr>
          <w:rFonts w:ascii="仿宋" w:hAnsi="仿宋" w:eastAsia="仿宋" w:cs="仿宋"/>
          <w:b/>
          <w:sz w:val="32"/>
        </w:rPr>
      </w:pPr>
      <w:bookmarkStart w:id="57" w:name="_Toc91899897"/>
    </w:p>
    <w:p>
      <w:pPr>
        <w:pStyle w:val="219"/>
        <w:spacing w:before="0"/>
        <w:ind w:firstLine="1928" w:firstLineChars="600"/>
        <w:rPr>
          <w:rFonts w:ascii="仿宋" w:hAnsi="仿宋" w:eastAsia="仿宋" w:cs="仿宋"/>
          <w:b/>
          <w:sz w:val="32"/>
        </w:rPr>
      </w:pPr>
      <w:r>
        <w:rPr>
          <w:rFonts w:hint="eastAsia" w:ascii="仿宋" w:hAnsi="仿宋" w:eastAsia="仿宋" w:cs="仿宋"/>
          <w:b/>
          <w:sz w:val="32"/>
        </w:rPr>
        <w:br w:type="page"/>
      </w:r>
      <w:r>
        <w:rPr>
          <w:rFonts w:hint="eastAsia" w:ascii="仿宋" w:hAnsi="仿宋" w:eastAsia="仿宋" w:cs="仿宋"/>
          <w:b/>
          <w:sz w:val="32"/>
        </w:rPr>
        <w:t>四、开标</w:t>
      </w:r>
      <w:bookmarkEnd w:id="57"/>
      <w:r>
        <w:rPr>
          <w:rFonts w:hint="eastAsia" w:ascii="仿宋" w:hAnsi="仿宋" w:eastAsia="仿宋" w:cs="仿宋"/>
          <w:b/>
          <w:sz w:val="32"/>
        </w:rPr>
        <w:t>、资格审查与信用信息查询</w:t>
      </w:r>
    </w:p>
    <w:p>
      <w:pPr>
        <w:pStyle w:val="499"/>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p>
    <w:p>
      <w:pPr>
        <w:pStyle w:val="499"/>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18.1采购机构按照交易文件规定的时间通过电子交易平台组织开标，所有供应商均应当准时在线参加。供应商不足5家的，不得开标。</w:t>
      </w:r>
    </w:p>
    <w:p>
      <w:pPr>
        <w:pStyle w:val="499"/>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18.2开标时，电子交易平台按开标时间自动提取所有投标文件。采购机构依托电子交易平台发起开始解密指令，供应商按照平台提示和交易文件的规定在半小时内完成在线解密。</w:t>
      </w:r>
    </w:p>
    <w:p>
      <w:pPr>
        <w:pStyle w:val="499"/>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18.3项目允许提供备份文件时，仅因政采云平台或CA原因无法读取或电子开评标无法正常进行，采购代理将按顺序启用备份文件完成开标。供应商因自身原因（不会使用、使用不当等）未按时完成解密的，投标无效，不启用备份文件。</w:t>
      </w:r>
      <w:r>
        <w:rPr>
          <w:rFonts w:hint="eastAsia" w:ascii="仿宋" w:hAnsi="仿宋" w:eastAsia="仿宋" w:cs="仿宋"/>
          <w:b/>
          <w:sz w:val="24"/>
        </w:rPr>
        <w:t>投标文件已按时解密的，备份投标文件自动失效。</w:t>
      </w:r>
    </w:p>
    <w:p>
      <w:pPr>
        <w:pStyle w:val="499"/>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18.4 备份投标文件的接收在交易文件确定的时间、地点进行。</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219"/>
        <w:spacing w:before="0"/>
        <w:ind w:firstLine="480"/>
        <w:rPr>
          <w:rFonts w:ascii="仿宋" w:hAnsi="仿宋" w:eastAsia="仿宋" w:cs="仿宋"/>
          <w:kern w:val="0"/>
          <w:szCs w:val="24"/>
        </w:rPr>
      </w:pPr>
      <w:r>
        <w:rPr>
          <w:rFonts w:hint="eastAsia" w:ascii="仿宋" w:hAnsi="仿宋" w:eastAsia="仿宋" w:cs="仿宋"/>
          <w:kern w:val="0"/>
          <w:szCs w:val="24"/>
        </w:rPr>
        <w:t>19.1开标后，采购人将依法对供应商的资格进行审查。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采购人或采购机构依据法律法规和交易文件的规定，对供应商的基本资格条件、特定资格条件进行审查。</w:t>
      </w:r>
    </w:p>
    <w:p>
      <w:pPr>
        <w:pStyle w:val="219"/>
        <w:spacing w:before="0"/>
        <w:ind w:firstLine="480"/>
        <w:rPr>
          <w:rFonts w:ascii="仿宋" w:hAnsi="仿宋" w:eastAsia="仿宋" w:cs="仿宋"/>
        </w:rPr>
      </w:pPr>
      <w:r>
        <w:rPr>
          <w:rFonts w:hint="eastAsia" w:ascii="仿宋" w:hAnsi="仿宋" w:eastAsia="仿宋" w:cs="仿宋"/>
          <w:kern w:val="0"/>
          <w:szCs w:val="24"/>
        </w:rPr>
        <w:t>19.3供应商未按照交易文件要求提供与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供应商不具备交易文件中规定的资格要求，其投标无效。</w:t>
      </w:r>
    </w:p>
    <w:p>
      <w:pPr>
        <w:pStyle w:val="219"/>
        <w:spacing w:before="0"/>
        <w:ind w:firstLine="480"/>
        <w:rPr>
          <w:rFonts w:ascii="仿宋" w:hAnsi="仿宋" w:eastAsia="仿宋" w:cs="仿宋"/>
        </w:rPr>
      </w:pPr>
      <w:r>
        <w:rPr>
          <w:rFonts w:hint="eastAsia" w:ascii="仿宋" w:hAnsi="仿宋" w:eastAsia="仿宋" w:cs="仿宋"/>
        </w:rPr>
        <w:t>19.4对未通过资格审查的供应商，采购人或采购机构告知其未通过的原因。</w:t>
      </w:r>
    </w:p>
    <w:p>
      <w:pPr>
        <w:pStyle w:val="219"/>
        <w:spacing w:before="0"/>
        <w:ind w:firstLine="480"/>
        <w:rPr>
          <w:rFonts w:ascii="仿宋" w:hAnsi="仿宋" w:eastAsia="仿宋" w:cs="仿宋"/>
        </w:rPr>
      </w:pPr>
      <w:r>
        <w:rPr>
          <w:rFonts w:hint="eastAsia" w:ascii="仿宋" w:hAnsi="仿宋" w:eastAsia="仿宋" w:cs="仿宋"/>
        </w:rPr>
        <w:t>19.5合格供应商不足5家的，不再评标。</w:t>
      </w:r>
    </w:p>
    <w:p>
      <w:pPr>
        <w:pStyle w:val="219"/>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219"/>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20.1信用信息查询渠道及截止时间：采购人或采购机构将通过“信用中国”网站(www.creditchina.gov.cn)、中国政府采购网(www.ccgp.gov.cn)渠道查询供应商投标截止时间前的信用记录。</w:t>
      </w:r>
    </w:p>
    <w:p>
      <w:pPr>
        <w:pStyle w:val="219"/>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20.2信用信息查询记录和证据留存的具体方式：现场查询的供应商的信用记录、查询结果经确认后将与采购文件一起存档。</w:t>
      </w:r>
    </w:p>
    <w:p>
      <w:pPr>
        <w:pStyle w:val="219"/>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20.3信用信息的使用规则：经查询列入失信被执行人名单、重大税收违法案件当事人名单、政府采购严重违法失信行为记录名单的供应商将被拒绝参与政府采购活动。</w:t>
      </w:r>
    </w:p>
    <w:p>
      <w:pPr>
        <w:pStyle w:val="219"/>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219"/>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bookmarkStart w:id="58" w:name="_Hlt75236101"/>
      <w:bookmarkEnd w:id="58"/>
      <w:bookmarkStart w:id="59" w:name="_Toc91899902"/>
      <w:r>
        <w:rPr>
          <w:rFonts w:hint="eastAsia" w:ascii="仿宋" w:hAnsi="仿宋" w:eastAsia="仿宋" w:cs="仿宋"/>
          <w:b/>
          <w:sz w:val="36"/>
          <w:szCs w:val="36"/>
        </w:rPr>
        <w:t>五、评标</w:t>
      </w:r>
      <w:bookmarkEnd w:id="59"/>
    </w:p>
    <w:p>
      <w:pPr>
        <w:spacing w:line="360" w:lineRule="auto"/>
        <w:rPr>
          <w:rFonts w:ascii="仿宋" w:hAnsi="仿宋" w:eastAsia="仿宋" w:cs="仿宋"/>
          <w:b/>
          <w:sz w:val="24"/>
        </w:rPr>
      </w:pPr>
      <w:r>
        <w:rPr>
          <w:rFonts w:hint="eastAsia" w:ascii="仿宋" w:hAnsi="仿宋" w:eastAsia="仿宋" w:cs="仿宋"/>
          <w:b/>
          <w:sz w:val="24"/>
        </w:rPr>
        <w:t>21.</w:t>
      </w:r>
      <w:r>
        <w:rPr>
          <w:rFonts w:hint="eastAsia" w:ascii="仿宋" w:hAnsi="仿宋" w:eastAsia="仿宋" w:cs="仿宋"/>
          <w:sz w:val="24"/>
        </w:rPr>
        <w:t>本项目原则上采用电子评审方法，若因政采云平台原因（或CA软件系统）无法读取或电子开评标无法正常进行，采购代理机构将开启所有供应商递交的纸质备份投标文件，以完成开、评标，电子投标文件及以介质存储的数据电文形式的备份投标文件自动失效。评标方法及评分标准等。详见交易文件第四部分“评标方法及评分标准”</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4"/>
        <w:spacing w:line="360" w:lineRule="auto"/>
        <w:ind w:left="479" w:hanging="479" w:hangingChars="199"/>
        <w:rPr>
          <w:rFonts w:ascii="仿宋" w:hAnsi="仿宋" w:eastAsia="仿宋" w:cs="仿宋"/>
          <w:b/>
        </w:rPr>
      </w:pPr>
      <w:r>
        <w:rPr>
          <w:rFonts w:hint="eastAsia" w:ascii="仿宋" w:hAnsi="仿宋" w:eastAsia="仿宋" w:cs="仿宋"/>
          <w:b/>
        </w:rPr>
        <w:t>22.确定中标供应商</w:t>
      </w:r>
    </w:p>
    <w:p>
      <w:pPr>
        <w:pStyle w:val="219"/>
        <w:snapToGrid w:val="0"/>
        <w:spacing w:before="0"/>
        <w:ind w:firstLine="480"/>
        <w:rPr>
          <w:rFonts w:ascii="仿宋" w:hAnsi="仿宋" w:eastAsia="仿宋" w:cs="仿宋"/>
          <w:b/>
          <w:szCs w:val="24"/>
        </w:rPr>
      </w:pPr>
      <w:r>
        <w:rPr>
          <w:rFonts w:hint="eastAsia" w:ascii="仿宋" w:hAnsi="仿宋" w:eastAsia="仿宋" w:cs="仿宋"/>
          <w:szCs w:val="24"/>
        </w:rPr>
        <w:t>采购机构将自评审结束之日起2个工作日内将评审报告送交采购人。采购人将自收到评审报告之日起5个工作日内在评审报告推荐的中标候选人中按顺序确定中标供应商。</w:t>
      </w:r>
    </w:p>
    <w:p>
      <w:pPr>
        <w:pStyle w:val="219"/>
        <w:snapToGrid w:val="0"/>
        <w:spacing w:before="0"/>
        <w:ind w:firstLine="0" w:firstLineChars="0"/>
        <w:rPr>
          <w:rFonts w:ascii="仿宋" w:hAnsi="仿宋" w:eastAsia="仿宋" w:cs="仿宋"/>
          <w:b/>
          <w:szCs w:val="24"/>
        </w:rPr>
      </w:pPr>
      <w:r>
        <w:rPr>
          <w:rFonts w:hint="eastAsia" w:ascii="仿宋" w:hAnsi="仿宋" w:eastAsia="仿宋" w:cs="仿宋"/>
          <w:b/>
          <w:szCs w:val="24"/>
        </w:rPr>
        <w:t>23.中标通知与中标结果公告</w:t>
      </w:r>
    </w:p>
    <w:p>
      <w:pPr>
        <w:widowControl/>
        <w:spacing w:line="360" w:lineRule="auto"/>
        <w:ind w:firstLine="480"/>
        <w:jc w:val="left"/>
        <w:rPr>
          <w:rFonts w:ascii="仿宋" w:hAnsi="仿宋" w:eastAsia="仿宋" w:cs="仿宋"/>
          <w:sz w:val="24"/>
        </w:rPr>
      </w:pPr>
      <w:r>
        <w:rPr>
          <w:rFonts w:hint="eastAsia" w:ascii="仿宋" w:hAnsi="仿宋" w:eastAsia="仿宋" w:cs="仿宋"/>
          <w:sz w:val="24"/>
        </w:rPr>
        <w:t>23.1采购机构将在自成交人确定之日起2个工作日内，发布交易公告的网站上公告中标结果，同时发出中标通知书。</w:t>
      </w:r>
    </w:p>
    <w:p>
      <w:pPr>
        <w:widowControl/>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成交人名称、地址和中标金额，主要中标标的的名称、规格型号、数量、单价、服务要求，开标记录、未中标情况说明、中标公告期限以及评审专家名单、评分汇总及明细。</w:t>
      </w:r>
    </w:p>
    <w:p>
      <w:pPr>
        <w:widowControl/>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4"/>
        <w:spacing w:line="360" w:lineRule="auto"/>
        <w:ind w:left="479" w:hanging="479" w:hangingChars="199"/>
        <w:rPr>
          <w:rFonts w:ascii="仿宋" w:hAnsi="仿宋" w:eastAsia="仿宋" w:cs="仿宋"/>
          <w:b/>
        </w:rPr>
      </w:pPr>
      <w:r>
        <w:rPr>
          <w:rFonts w:hint="eastAsia" w:ascii="仿宋" w:hAnsi="仿宋" w:eastAsia="仿宋" w:cs="仿宋"/>
          <w:b/>
        </w:rPr>
        <w:t>24.</w:t>
      </w:r>
      <w:r>
        <w:rPr>
          <w:rFonts w:hint="eastAsia" w:ascii="仿宋" w:hAnsi="仿宋" w:eastAsia="仿宋" w:cs="仿宋"/>
        </w:rPr>
        <w:t>合同主要条款详见第五部分拟签订的合同文本。</w:t>
      </w:r>
    </w:p>
    <w:p>
      <w:pPr>
        <w:pStyle w:val="24"/>
        <w:spacing w:line="360" w:lineRule="auto"/>
        <w:ind w:left="479" w:hanging="479" w:hangingChars="199"/>
        <w:rPr>
          <w:rFonts w:ascii="仿宋" w:hAnsi="仿宋" w:eastAsia="仿宋" w:cs="仿宋"/>
          <w:b/>
        </w:rPr>
      </w:pPr>
      <w:r>
        <w:rPr>
          <w:rFonts w:hint="eastAsia" w:ascii="仿宋" w:hAnsi="仿宋" w:eastAsia="仿宋" w:cs="仿宋"/>
          <w:b/>
        </w:rPr>
        <w:t>25.合同的签订</w:t>
      </w:r>
    </w:p>
    <w:p>
      <w:pPr>
        <w:widowControl/>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采购人与成交人应当在中标通知书发出之日起三十日内，按照交易文件确定的事项签订政府采购合同。</w:t>
      </w:r>
    </w:p>
    <w:p>
      <w:pPr>
        <w:pStyle w:val="219"/>
        <w:snapToGrid w:val="0"/>
        <w:spacing w:before="0"/>
        <w:ind w:firstLine="480"/>
        <w:rPr>
          <w:rFonts w:ascii="仿宋" w:hAnsi="仿宋" w:eastAsia="仿宋" w:cs="仿宋"/>
          <w:kern w:val="0"/>
        </w:rPr>
      </w:pPr>
      <w:r>
        <w:rPr>
          <w:rFonts w:hint="eastAsia" w:ascii="仿宋" w:hAnsi="仿宋" w:eastAsia="仿宋" w:cs="仿宋"/>
          <w:kern w:val="0"/>
          <w:lang w:val="zh-CN"/>
        </w:rPr>
        <w:t>25.2成交人按规定的日期、时间、地点，由法定代表人或其授权代表与采购人代表签订合同。如成交人为联合体的，由联合体成员各方法定代表人或其授权代表与采购人代表签订合同。</w:t>
      </w:r>
    </w:p>
    <w:p>
      <w:pPr>
        <w:pStyle w:val="219"/>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219"/>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24"/>
        <w:spacing w:line="360" w:lineRule="auto"/>
        <w:ind w:left="479" w:hanging="479" w:hangingChars="199"/>
        <w:rPr>
          <w:rFonts w:ascii="仿宋" w:hAnsi="仿宋" w:eastAsia="仿宋" w:cs="仿宋"/>
          <w:b/>
        </w:rPr>
      </w:pPr>
      <w:r>
        <w:rPr>
          <w:rFonts w:hint="eastAsia" w:ascii="仿宋" w:hAnsi="仿宋" w:eastAsia="仿宋" w:cs="仿宋"/>
          <w:b/>
        </w:rPr>
        <w:t>26.履约保证金</w:t>
      </w:r>
    </w:p>
    <w:p>
      <w:pPr>
        <w:tabs>
          <w:tab w:val="left" w:pos="0"/>
        </w:tabs>
        <w:spacing w:line="360" w:lineRule="auto"/>
        <w:ind w:firstLine="480"/>
        <w:rPr>
          <w:rFonts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 xml:space="preserve">。履约保证金的数额不得超过政府采购合同金额的1%。 </w:t>
      </w:r>
    </w:p>
    <w:p>
      <w:pPr>
        <w:tabs>
          <w:tab w:val="left" w:pos="0"/>
        </w:tabs>
        <w:spacing w:line="360" w:lineRule="auto"/>
        <w:ind w:firstLine="480"/>
        <w:rPr>
          <w:rFonts w:ascii="仿宋" w:hAnsi="仿宋" w:eastAsia="仿宋" w:cs="仿宋"/>
          <w:sz w:val="24"/>
        </w:rPr>
      </w:pP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219"/>
        <w:snapToGrid w:val="0"/>
        <w:spacing w:before="0"/>
        <w:ind w:firstLine="0" w:firstLineChars="0"/>
        <w:rPr>
          <w:rFonts w:ascii="仿宋" w:hAnsi="仿宋" w:eastAsia="仿宋" w:cs="仿宋"/>
        </w:rPr>
      </w:pPr>
      <w:r>
        <w:rPr>
          <w:rFonts w:hint="eastAsia" w:ascii="仿宋" w:hAnsi="仿宋" w:eastAsia="仿宋" w:cs="仿宋"/>
          <w:b/>
        </w:rPr>
        <w:t>27</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219"/>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219"/>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219"/>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219"/>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219"/>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219"/>
        <w:snapToGrid w:val="0"/>
        <w:spacing w:before="0"/>
        <w:ind w:firstLine="480"/>
        <w:rPr>
          <w:rFonts w:ascii="仿宋" w:hAnsi="仿宋" w:eastAsia="仿宋" w:cs="仿宋"/>
        </w:rPr>
      </w:pP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360" w:firstLineChars="150"/>
        <w:jc w:val="center"/>
        <w:rPr>
          <w:rFonts w:ascii="仿宋" w:hAnsi="仿宋" w:eastAsia="仿宋" w:cs="仿宋"/>
          <w:sz w:val="24"/>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4"/>
        <w:spacing w:line="360" w:lineRule="auto"/>
        <w:ind w:firstLine="0" w:firstLineChars="0"/>
        <w:rPr>
          <w:rFonts w:ascii="仿宋" w:hAnsi="仿宋" w:eastAsia="仿宋" w:cs="仿宋"/>
          <w:b/>
        </w:rPr>
      </w:pPr>
      <w:r>
        <w:rPr>
          <w:rFonts w:hint="eastAsia" w:ascii="仿宋" w:hAnsi="仿宋" w:eastAsia="仿宋" w:cs="仿宋"/>
          <w:b/>
        </w:rPr>
        <w:t>28.验收</w:t>
      </w:r>
    </w:p>
    <w:p>
      <w:pPr>
        <w:tabs>
          <w:tab w:val="left" w:pos="0"/>
        </w:tabs>
        <w:spacing w:line="360" w:lineRule="auto"/>
        <w:ind w:firstLine="480"/>
        <w:jc w:val="left"/>
        <w:rPr>
          <w:rFonts w:ascii="仿宋" w:hAnsi="仿宋" w:eastAsia="仿宋" w:cs="仿宋"/>
          <w:kern w:val="0"/>
          <w:sz w:val="24"/>
        </w:rPr>
      </w:pPr>
      <w:r>
        <w:rPr>
          <w:rFonts w:hint="eastAsia" w:ascii="仿宋" w:hAnsi="仿宋" w:eastAsia="仿宋" w:cs="仿宋"/>
          <w:kern w:val="0"/>
          <w:sz w:val="24"/>
        </w:rPr>
        <w:t>28.1采购人应当组织对供应商履约的验收。验收采用采购人自行组织验收，参照萧政办发[2014]217号文件执行。验收方成员应当在验收书上签字，并承担相应的法律责任。</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28.2除28.1规定情形外，采购人可以自行验收或邀请参加本项目的其他供应商或者第三方机构参与验收。</w:t>
      </w:r>
    </w:p>
    <w:p>
      <w:pPr>
        <w:adjustRightInd/>
        <w:spacing w:line="360" w:lineRule="auto"/>
        <w:ind w:firstLine="3845" w:firstLineChars="1197"/>
        <w:outlineLvl w:val="0"/>
        <w:rPr>
          <w:rFonts w:ascii="仿宋" w:hAnsi="仿宋" w:eastAsia="仿宋" w:cs="仿宋"/>
          <w:b/>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40"/>
    <w:bookmarkEnd w:id="41"/>
    <w:p>
      <w:pPr>
        <w:pStyle w:val="4"/>
        <w:rPr>
          <w:rFonts w:cs="仿宋"/>
          <w:color w:val="auto"/>
        </w:rPr>
      </w:pPr>
      <w:bookmarkStart w:id="60" w:name="第四部分"/>
      <w:r>
        <w:rPr>
          <w:rFonts w:hint="eastAsia" w:cs="仿宋"/>
          <w:color w:val="auto"/>
        </w:rPr>
        <w:t>第三部分   采购需求</w:t>
      </w:r>
    </w:p>
    <w:p>
      <w:pPr>
        <w:snapToGrid w:val="0"/>
        <w:spacing w:line="360" w:lineRule="auto"/>
        <w:ind w:firstLine="240" w:firstLineChars="100"/>
        <w:jc w:val="center"/>
        <w:rPr>
          <w:rFonts w:ascii="仿宋" w:hAnsi="仿宋" w:eastAsia="仿宋" w:cs="仿宋"/>
          <w:sz w:val="24"/>
        </w:rPr>
      </w:pPr>
    </w:p>
    <w:p>
      <w:pPr>
        <w:snapToGrid w:val="0"/>
        <w:spacing w:line="360" w:lineRule="auto"/>
        <w:ind w:firstLine="281" w:firstLineChars="100"/>
        <w:jc w:val="center"/>
        <w:rPr>
          <w:rFonts w:ascii="仿宋" w:hAnsi="仿宋" w:eastAsia="仿宋" w:cs="仿宋"/>
          <w:b/>
          <w:bCs/>
          <w:sz w:val="28"/>
          <w:szCs w:val="28"/>
        </w:rPr>
      </w:pPr>
      <w:r>
        <w:rPr>
          <w:rFonts w:hint="eastAsia" w:ascii="仿宋" w:hAnsi="仿宋" w:eastAsia="仿宋" w:cs="仿宋"/>
          <w:b/>
          <w:bCs/>
          <w:sz w:val="28"/>
          <w:szCs w:val="28"/>
        </w:rPr>
        <w:t>一、交易一览表</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标项：1标项：</w:t>
      </w:r>
      <w:r>
        <w:rPr>
          <w:rFonts w:hint="eastAsia" w:ascii="仿宋" w:hAnsi="仿宋" w:eastAsia="仿宋" w:cs="仿宋"/>
          <w:sz w:val="24"/>
          <w:u w:val="single"/>
        </w:rPr>
        <w:t xml:space="preserve">一  </w:t>
      </w:r>
    </w:p>
    <w:tbl>
      <w:tblPr>
        <w:tblStyle w:val="61"/>
        <w:tblW w:w="8377" w:type="dxa"/>
        <w:jc w:val="center"/>
        <w:tblLayout w:type="fixed"/>
        <w:tblCellMar>
          <w:top w:w="0" w:type="dxa"/>
          <w:left w:w="0" w:type="dxa"/>
          <w:bottom w:w="0" w:type="dxa"/>
          <w:right w:w="0" w:type="dxa"/>
        </w:tblCellMar>
      </w:tblPr>
      <w:tblGrid>
        <w:gridCol w:w="754"/>
        <w:gridCol w:w="1538"/>
        <w:gridCol w:w="1905"/>
        <w:gridCol w:w="1755"/>
        <w:gridCol w:w="1110"/>
        <w:gridCol w:w="675"/>
        <w:gridCol w:w="640"/>
      </w:tblGrid>
      <w:tr>
        <w:tblPrEx>
          <w:tblCellMar>
            <w:top w:w="0" w:type="dxa"/>
            <w:left w:w="0" w:type="dxa"/>
            <w:bottom w:w="0" w:type="dxa"/>
            <w:right w:w="0" w:type="dxa"/>
          </w:tblCellMar>
        </w:tblPrEx>
        <w:trPr>
          <w:cantSplit/>
          <w:trHeight w:val="644" w:hRule="atLeast"/>
          <w:jc w:val="center"/>
        </w:trPr>
        <w:tc>
          <w:tcPr>
            <w:tcW w:w="7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序号</w:t>
            </w:r>
          </w:p>
        </w:tc>
        <w:tc>
          <w:tcPr>
            <w:tcW w:w="153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名称</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线路</w:t>
            </w:r>
          </w:p>
        </w:tc>
        <w:tc>
          <w:tcPr>
            <w:tcW w:w="17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最高限价（人/次）</w:t>
            </w:r>
          </w:p>
        </w:tc>
        <w:tc>
          <w:tcPr>
            <w:tcW w:w="11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规格型号与参数</w:t>
            </w:r>
          </w:p>
        </w:tc>
        <w:tc>
          <w:tcPr>
            <w:tcW w:w="6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单位</w:t>
            </w:r>
          </w:p>
        </w:tc>
        <w:tc>
          <w:tcPr>
            <w:tcW w:w="6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数量</w:t>
            </w:r>
          </w:p>
        </w:tc>
      </w:tr>
      <w:tr>
        <w:tblPrEx>
          <w:tblCellMar>
            <w:top w:w="0" w:type="dxa"/>
            <w:left w:w="0" w:type="dxa"/>
            <w:bottom w:w="0" w:type="dxa"/>
            <w:right w:w="0" w:type="dxa"/>
          </w:tblCellMar>
        </w:tblPrEx>
        <w:trPr>
          <w:cantSplit/>
          <w:trHeight w:val="314" w:hRule="atLeast"/>
          <w:jc w:val="center"/>
        </w:trPr>
        <w:tc>
          <w:tcPr>
            <w:tcW w:w="754"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w:t>
            </w:r>
          </w:p>
        </w:tc>
        <w:tc>
          <w:tcPr>
            <w:tcW w:w="1538" w:type="dxa"/>
            <w:vMerge w:val="restart"/>
            <w:tcBorders>
              <w:top w:val="nil"/>
              <w:left w:val="nil"/>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萧山区总工会工会疗休养服务库项目</w:t>
            </w:r>
          </w:p>
        </w:tc>
        <w:tc>
          <w:tcPr>
            <w:tcW w:w="19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劳模工匠</w:t>
            </w:r>
          </w:p>
        </w:tc>
        <w:tc>
          <w:tcPr>
            <w:tcW w:w="175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6000</w:t>
            </w:r>
          </w:p>
        </w:tc>
        <w:tc>
          <w:tcPr>
            <w:tcW w:w="1110" w:type="dxa"/>
            <w:vMerge w:val="restart"/>
            <w:tcBorders>
              <w:top w:val="nil"/>
              <w:left w:val="nil"/>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详见招标需求</w:t>
            </w:r>
          </w:p>
        </w:tc>
        <w:tc>
          <w:tcPr>
            <w:tcW w:w="675"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家</w:t>
            </w:r>
          </w:p>
        </w:tc>
        <w:tc>
          <w:tcPr>
            <w:tcW w:w="640" w:type="dxa"/>
            <w:vMerge w:val="restart"/>
            <w:tcBorders>
              <w:top w:val="nil"/>
              <w:left w:val="nil"/>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5</w:t>
            </w:r>
          </w:p>
        </w:tc>
      </w:tr>
      <w:tr>
        <w:tblPrEx>
          <w:tblCellMar>
            <w:top w:w="0" w:type="dxa"/>
            <w:left w:w="0" w:type="dxa"/>
            <w:bottom w:w="0" w:type="dxa"/>
            <w:right w:w="0" w:type="dxa"/>
          </w:tblCellMar>
        </w:tblPrEx>
        <w:trPr>
          <w:cantSplit/>
          <w:trHeight w:val="225" w:hRule="atLeast"/>
          <w:jc w:val="center"/>
        </w:trPr>
        <w:tc>
          <w:tcPr>
            <w:tcW w:w="754"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1538" w:type="dxa"/>
            <w:vMerge w:val="continue"/>
            <w:tcBorders>
              <w:left w:val="nil"/>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机关职工</w:t>
            </w:r>
          </w:p>
        </w:tc>
        <w:tc>
          <w:tcPr>
            <w:tcW w:w="17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3000</w:t>
            </w:r>
          </w:p>
        </w:tc>
        <w:tc>
          <w:tcPr>
            <w:tcW w:w="1110" w:type="dxa"/>
            <w:vMerge w:val="continue"/>
            <w:tcBorders>
              <w:left w:val="nil"/>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675"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640" w:type="dxa"/>
            <w:vMerge w:val="continue"/>
            <w:tcBorders>
              <w:left w:val="nil"/>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cantSplit/>
          <w:trHeight w:val="218" w:hRule="atLeast"/>
          <w:jc w:val="center"/>
        </w:trPr>
        <w:tc>
          <w:tcPr>
            <w:tcW w:w="754"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1538" w:type="dxa"/>
            <w:vMerge w:val="continue"/>
            <w:tcBorders>
              <w:left w:val="nil"/>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一线职工</w:t>
            </w:r>
          </w:p>
        </w:tc>
        <w:tc>
          <w:tcPr>
            <w:tcW w:w="17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1600</w:t>
            </w:r>
          </w:p>
        </w:tc>
        <w:tc>
          <w:tcPr>
            <w:tcW w:w="1110" w:type="dxa"/>
            <w:vMerge w:val="continue"/>
            <w:tcBorders>
              <w:left w:val="nil"/>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675"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640" w:type="dxa"/>
            <w:vMerge w:val="continue"/>
            <w:tcBorders>
              <w:left w:val="nil"/>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cantSplit/>
          <w:trHeight w:val="128" w:hRule="atLeast"/>
          <w:jc w:val="center"/>
        </w:trPr>
        <w:tc>
          <w:tcPr>
            <w:tcW w:w="754"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1538"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一线职工（区内一日）</w:t>
            </w:r>
          </w:p>
        </w:tc>
        <w:tc>
          <w:tcPr>
            <w:tcW w:w="17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400</w:t>
            </w:r>
          </w:p>
        </w:tc>
        <w:tc>
          <w:tcPr>
            <w:tcW w:w="1110"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675"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c>
          <w:tcPr>
            <w:tcW w:w="640"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p>
        </w:tc>
      </w:tr>
    </w:tbl>
    <w:p>
      <w:pPr>
        <w:spacing w:line="360" w:lineRule="auto"/>
        <w:outlineLvl w:val="2"/>
        <w:rPr>
          <w:rFonts w:ascii="仿宋" w:hAnsi="仿宋" w:eastAsia="仿宋"/>
          <w:sz w:val="24"/>
        </w:rPr>
      </w:pPr>
      <w:r>
        <w:rPr>
          <w:rFonts w:hint="eastAsia" w:ascii="仿宋" w:hAnsi="仿宋" w:eastAsia="仿宋" w:cs="仿宋"/>
          <w:sz w:val="24"/>
        </w:rPr>
        <w:t>注：</w:t>
      </w:r>
      <w:r>
        <w:rPr>
          <w:rFonts w:hint="eastAsia" w:ascii="仿宋" w:hAnsi="仿宋" w:eastAsia="仿宋"/>
          <w:sz w:val="24"/>
        </w:rPr>
        <w:t>（1）最终结算以每人报价单价为准。</w:t>
      </w:r>
    </w:p>
    <w:p>
      <w:pPr>
        <w:spacing w:line="360" w:lineRule="auto"/>
        <w:jc w:val="left"/>
        <w:outlineLvl w:val="2"/>
        <w:rPr>
          <w:rFonts w:ascii="仿宋" w:hAnsi="仿宋" w:eastAsia="仿宋"/>
          <w:sz w:val="24"/>
        </w:rPr>
      </w:pPr>
      <w:r>
        <w:rPr>
          <w:rFonts w:hint="eastAsia" w:ascii="仿宋" w:hAnsi="仿宋" w:eastAsia="仿宋"/>
          <w:sz w:val="24"/>
        </w:rPr>
        <w:t>（2）本项目以综合得分最高的前5名为中标候选人。</w:t>
      </w:r>
    </w:p>
    <w:p>
      <w:pPr>
        <w:spacing w:line="360" w:lineRule="auto"/>
        <w:jc w:val="left"/>
        <w:outlineLvl w:val="2"/>
        <w:rPr>
          <w:rFonts w:hint="eastAsia" w:ascii="仿宋" w:hAnsi="仿宋" w:eastAsia="仿宋"/>
          <w:sz w:val="24"/>
          <w:lang w:eastAsia="zh-CN"/>
        </w:rPr>
      </w:pPr>
      <w:r>
        <w:rPr>
          <w:rFonts w:hint="eastAsia" w:ascii="仿宋" w:hAnsi="仿宋" w:eastAsia="仿宋"/>
          <w:sz w:val="24"/>
        </w:rPr>
        <w:t>（3）最终中标候选人服务以随机抽签、竞争性谈判、询价等方式确定。</w:t>
      </w:r>
    </w:p>
    <w:p>
      <w:pPr>
        <w:spacing w:line="360" w:lineRule="auto"/>
        <w:jc w:val="left"/>
        <w:outlineLvl w:val="2"/>
        <w:rPr>
          <w:rFonts w:ascii="仿宋" w:hAnsi="仿宋" w:eastAsia="仿宋" w:cs="仿宋"/>
          <w:bCs/>
          <w:sz w:val="28"/>
          <w:szCs w:val="28"/>
        </w:rPr>
      </w:pPr>
      <w:r>
        <w:rPr>
          <w:rFonts w:hint="eastAsia" w:ascii="仿宋" w:hAnsi="仿宋" w:eastAsia="仿宋"/>
          <w:sz w:val="24"/>
        </w:rPr>
        <w:t>(4)以各个类型疗休养的单人单价之和为报价评审标准。</w:t>
      </w:r>
    </w:p>
    <w:p>
      <w:pPr>
        <w:spacing w:after="120"/>
        <w:ind w:firstLine="480" w:firstLineChars="200"/>
        <w:rPr>
          <w:rFonts w:ascii="仿宋" w:hAnsi="仿宋" w:eastAsia="仿宋" w:cs="仿宋"/>
          <w:sz w:val="24"/>
        </w:rPr>
      </w:pPr>
    </w:p>
    <w:p>
      <w:pPr>
        <w:spacing w:line="360" w:lineRule="auto"/>
        <w:ind w:firstLine="281" w:firstLineChars="100"/>
        <w:jc w:val="center"/>
        <w:rPr>
          <w:rFonts w:ascii="仿宋" w:hAnsi="仿宋" w:eastAsia="仿宋" w:cs="仿宋"/>
          <w:b/>
          <w:sz w:val="28"/>
          <w:szCs w:val="28"/>
        </w:rPr>
      </w:pPr>
      <w:r>
        <w:rPr>
          <w:rFonts w:hint="eastAsia" w:ascii="仿宋" w:hAnsi="仿宋" w:eastAsia="仿宋" w:cs="仿宋"/>
          <w:b/>
          <w:sz w:val="28"/>
          <w:szCs w:val="28"/>
        </w:rPr>
        <w:t>二、交易需求</w:t>
      </w:r>
    </w:p>
    <w:p>
      <w:pPr>
        <w:rPr>
          <w:rFonts w:ascii="仿宋" w:hAnsi="仿宋" w:eastAsia="仿宋" w:cs="仿宋"/>
          <w:sz w:val="24"/>
        </w:rPr>
      </w:pPr>
    </w:p>
    <w:p>
      <w:pPr>
        <w:widowControl/>
        <w:numPr>
          <w:ilvl w:val="0"/>
          <w:numId w:val="7"/>
        </w:numPr>
        <w:spacing w:line="360" w:lineRule="auto"/>
        <w:rPr>
          <w:rFonts w:ascii="仿宋" w:hAnsi="仿宋" w:eastAsia="仿宋" w:cs="仿宋"/>
          <w:b/>
          <w:bCs/>
          <w:kern w:val="0"/>
          <w:sz w:val="24"/>
        </w:rPr>
      </w:pPr>
      <w:r>
        <w:rPr>
          <w:rFonts w:hint="eastAsia" w:ascii="仿宋" w:hAnsi="仿宋" w:eastAsia="仿宋" w:cs="仿宋"/>
          <w:b/>
          <w:bCs/>
          <w:kern w:val="0"/>
          <w:sz w:val="24"/>
        </w:rPr>
        <w:t>项目服务要求：</w:t>
      </w:r>
    </w:p>
    <w:p>
      <w:pPr>
        <w:pStyle w:val="4"/>
        <w:ind w:firstLine="480" w:firstLineChars="200"/>
        <w:jc w:val="both"/>
        <w:rPr>
          <w:rFonts w:cs="仿宋"/>
          <w:bCs/>
          <w:color w:val="auto"/>
          <w:kern w:val="0"/>
          <w:sz w:val="24"/>
          <w:szCs w:val="24"/>
        </w:rPr>
      </w:pPr>
      <w:r>
        <w:rPr>
          <w:rFonts w:hint="eastAsia" w:cs="仿宋"/>
          <w:b w:val="0"/>
          <w:color w:val="auto"/>
          <w:kern w:val="0"/>
          <w:sz w:val="24"/>
          <w:szCs w:val="24"/>
        </w:rPr>
        <w:t>1.本项目服务期限为1年。每个</w:t>
      </w:r>
      <w:r>
        <w:rPr>
          <w:rFonts w:hint="eastAsia" w:cs="仿宋"/>
          <w:bCs/>
          <w:color w:val="auto"/>
          <w:kern w:val="0"/>
          <w:sz w:val="24"/>
          <w:szCs w:val="24"/>
        </w:rPr>
        <w:t>供应商提供3000.00元的履约保证金作为服务质量担保，</w:t>
      </w:r>
      <w:r>
        <w:rPr>
          <w:rFonts w:hint="eastAsia" w:cs="仿宋"/>
          <w:b w:val="0"/>
          <w:color w:val="auto"/>
          <w:kern w:val="0"/>
          <w:sz w:val="24"/>
          <w:szCs w:val="24"/>
        </w:rPr>
        <w:t>在服务期内进行考核。如供应商在成交服务期违反合同约定，参与人员满意度低于90%的，采购人有权提出终止合同</w:t>
      </w:r>
      <w:r>
        <w:rPr>
          <w:rFonts w:hint="eastAsia" w:cs="仿宋"/>
          <w:bCs/>
          <w:color w:val="auto"/>
          <w:kern w:val="0"/>
          <w:sz w:val="24"/>
          <w:szCs w:val="24"/>
        </w:rPr>
        <w:t>并按照一定比例扣除履约保证金。</w:t>
      </w:r>
    </w:p>
    <w:p/>
    <w:p>
      <w:pPr>
        <w:pStyle w:val="32"/>
        <w:numPr>
          <w:ilvl w:val="0"/>
          <w:numId w:val="8"/>
        </w:numPr>
        <w:spacing w:line="360" w:lineRule="auto"/>
        <w:ind w:firstLine="470" w:firstLineChars="196"/>
        <w:rPr>
          <w:rFonts w:ascii="仿宋" w:hAnsi="仿宋" w:eastAsia="仿宋" w:cs="仿宋"/>
          <w:kern w:val="0"/>
          <w:sz w:val="24"/>
          <w:szCs w:val="24"/>
        </w:rPr>
      </w:pPr>
      <w:r>
        <w:rPr>
          <w:rFonts w:hint="eastAsia" w:ascii="仿宋" w:hAnsi="仿宋" w:eastAsia="仿宋" w:cs="仿宋"/>
          <w:kern w:val="0"/>
          <w:sz w:val="24"/>
          <w:szCs w:val="24"/>
        </w:rPr>
        <w:t>投标人需在投标文件中提供具体行程、出行方式、就餐标准等具体明细，投标报价根据要求提供每人次的单价。投标单价为投标人综合考虑后的统一单价，不得再有淡季旺季的价格区别。无论采购方在何时出团，均以投标单价为结算依据。投标人应允许中标后任何线路因报名人数不足或者不可抗力因素的不成团，不成团线路招标方不承担任何责任。</w:t>
      </w:r>
    </w:p>
    <w:p>
      <w:pPr>
        <w:pStyle w:val="33"/>
        <w:numPr>
          <w:ilvl w:val="0"/>
          <w:numId w:val="8"/>
        </w:numPr>
        <w:ind w:left="0" w:leftChars="0" w:firstLine="470" w:firstLineChars="196"/>
        <w:rPr>
          <w:rFonts w:ascii="仿宋" w:hAnsi="仿宋" w:eastAsia="仿宋" w:cs="仿宋"/>
          <w:kern w:val="0"/>
          <w:szCs w:val="24"/>
          <w:lang w:val="en-US"/>
        </w:rPr>
      </w:pPr>
      <w:r>
        <w:rPr>
          <w:rFonts w:hint="eastAsia" w:ascii="仿宋" w:hAnsi="仿宋" w:eastAsia="仿宋" w:cs="仿宋"/>
          <w:kern w:val="0"/>
          <w:szCs w:val="24"/>
          <w:lang w:val="en-US"/>
        </w:rPr>
        <w:t>入围单位数5家</w:t>
      </w:r>
    </w:p>
    <w:p>
      <w:pPr>
        <w:ind w:left="412" w:leftChars="196"/>
      </w:pPr>
    </w:p>
    <w:p>
      <w:pPr>
        <w:spacing w:line="360" w:lineRule="auto"/>
        <w:rPr>
          <w:rFonts w:ascii="仿宋" w:hAnsi="仿宋" w:eastAsia="仿宋" w:cs="仿宋"/>
          <w:b/>
          <w:bCs/>
          <w:sz w:val="24"/>
        </w:rPr>
      </w:pPr>
      <w:r>
        <w:rPr>
          <w:rFonts w:hint="eastAsia" w:ascii="仿宋" w:hAnsi="仿宋" w:eastAsia="仿宋" w:cs="仿宋"/>
          <w:b/>
          <w:bCs/>
          <w:sz w:val="24"/>
        </w:rPr>
        <w:t>（二）质量标准</w:t>
      </w:r>
    </w:p>
    <w:p>
      <w:pPr>
        <w:spacing w:line="360" w:lineRule="auto"/>
        <w:ind w:firstLine="420" w:firstLineChars="175"/>
        <w:rPr>
          <w:rFonts w:ascii="仿宋" w:hAnsi="仿宋" w:eastAsia="仿宋" w:cs="仿宋"/>
          <w:sz w:val="24"/>
        </w:rPr>
      </w:pPr>
      <w:r>
        <w:rPr>
          <w:rFonts w:hint="eastAsia" w:ascii="仿宋" w:hAnsi="仿宋" w:eastAsia="仿宋" w:cs="仿宋"/>
          <w:sz w:val="24"/>
        </w:rPr>
        <w:t>GB/T15971—1995 导游服务质量</w:t>
      </w:r>
    </w:p>
    <w:p>
      <w:pPr>
        <w:spacing w:line="360" w:lineRule="auto"/>
        <w:ind w:firstLine="420" w:firstLineChars="175"/>
        <w:rPr>
          <w:rFonts w:ascii="仿宋" w:hAnsi="仿宋" w:eastAsia="仿宋" w:cs="仿宋"/>
          <w:sz w:val="24"/>
        </w:rPr>
      </w:pPr>
      <w:r>
        <w:rPr>
          <w:rFonts w:hint="eastAsia" w:ascii="仿宋" w:hAnsi="仿宋" w:eastAsia="仿宋" w:cs="仿宋"/>
          <w:sz w:val="24"/>
        </w:rPr>
        <w:t xml:space="preserve">GB/16153—1996 饭店（餐厅）卫生标准 </w:t>
      </w:r>
    </w:p>
    <w:p>
      <w:pPr>
        <w:spacing w:line="360" w:lineRule="auto"/>
        <w:ind w:firstLine="420" w:firstLineChars="175"/>
        <w:rPr>
          <w:rFonts w:ascii="仿宋" w:hAnsi="仿宋" w:eastAsia="仿宋" w:cs="仿宋"/>
          <w:sz w:val="24"/>
        </w:rPr>
      </w:pPr>
      <w:r>
        <w:rPr>
          <w:rFonts w:hint="eastAsia" w:ascii="仿宋" w:hAnsi="仿宋" w:eastAsia="仿宋" w:cs="仿宋"/>
          <w:sz w:val="24"/>
        </w:rPr>
        <w:t>GB/T19004.2—1994 质量管理和质量体系要素 第二部分：服务指南（idt ISO 9004—2：1991）</w:t>
      </w:r>
    </w:p>
    <w:p>
      <w:pPr>
        <w:spacing w:line="360" w:lineRule="auto"/>
        <w:ind w:firstLine="420" w:firstLineChars="175"/>
        <w:rPr>
          <w:rFonts w:ascii="仿宋" w:hAnsi="仿宋" w:eastAsia="仿宋" w:cs="仿宋"/>
          <w:sz w:val="24"/>
        </w:rPr>
      </w:pPr>
      <w:r>
        <w:rPr>
          <w:rFonts w:hint="eastAsia" w:ascii="仿宋" w:hAnsi="仿宋" w:eastAsia="仿宋" w:cs="仿宋"/>
          <w:sz w:val="24"/>
        </w:rPr>
        <w:t>LB/T 002—1995 旅游汽车服务质量</w:t>
      </w:r>
    </w:p>
    <w:p>
      <w:pPr>
        <w:spacing w:line="360" w:lineRule="auto"/>
        <w:ind w:firstLine="420" w:firstLineChars="175"/>
        <w:rPr>
          <w:rFonts w:ascii="仿宋" w:hAnsi="仿宋" w:eastAsia="仿宋" w:cs="仿宋"/>
          <w:sz w:val="24"/>
        </w:rPr>
      </w:pPr>
      <w:r>
        <w:rPr>
          <w:rFonts w:hint="eastAsia" w:ascii="仿宋" w:hAnsi="仿宋" w:eastAsia="仿宋" w:cs="仿宋"/>
          <w:sz w:val="24"/>
        </w:rPr>
        <w:t>GB/T15971 导游人员的基本素质及服务</w:t>
      </w:r>
    </w:p>
    <w:p>
      <w:pPr>
        <w:spacing w:line="360" w:lineRule="auto"/>
        <w:ind w:firstLine="420" w:firstLineChars="175"/>
        <w:rPr>
          <w:rFonts w:ascii="仿宋" w:hAnsi="仿宋" w:eastAsia="仿宋" w:cs="仿宋"/>
          <w:kern w:val="0"/>
          <w:sz w:val="24"/>
        </w:rPr>
      </w:pPr>
      <w:r>
        <w:rPr>
          <w:rFonts w:hint="eastAsia" w:ascii="仿宋" w:hAnsi="仿宋" w:eastAsia="仿宋" w:cs="仿宋"/>
          <w:kern w:val="0"/>
          <w:sz w:val="24"/>
        </w:rPr>
        <w:t>以上标准若有最新标准，按最新标准执行。</w:t>
      </w:r>
    </w:p>
    <w:p>
      <w:pPr>
        <w:spacing w:line="360" w:lineRule="auto"/>
        <w:rPr>
          <w:rFonts w:ascii="仿宋" w:hAnsi="仿宋" w:eastAsia="仿宋" w:cs="仿宋"/>
          <w:b/>
          <w:bCs/>
          <w:sz w:val="24"/>
        </w:rPr>
      </w:pPr>
      <w:r>
        <w:rPr>
          <w:rFonts w:hint="eastAsia" w:ascii="仿宋" w:hAnsi="仿宋" w:eastAsia="仿宋" w:cs="仿宋"/>
          <w:b/>
          <w:bCs/>
          <w:sz w:val="24"/>
        </w:rPr>
        <w:t>（三）服务范围</w:t>
      </w:r>
    </w:p>
    <w:p>
      <w:pPr>
        <w:spacing w:line="360" w:lineRule="auto"/>
        <w:ind w:firstLine="420" w:firstLineChars="175"/>
        <w:rPr>
          <w:rFonts w:ascii="仿宋" w:hAnsi="仿宋" w:eastAsia="仿宋" w:cs="仿宋"/>
          <w:snapToGrid w:val="0"/>
          <w:kern w:val="28"/>
          <w:sz w:val="24"/>
          <w:szCs w:val="20"/>
        </w:rPr>
      </w:pPr>
      <w:r>
        <w:rPr>
          <w:rFonts w:hint="eastAsia" w:ascii="仿宋" w:hAnsi="仿宋" w:eastAsia="仿宋" w:cs="仿宋"/>
          <w:snapToGrid w:val="0"/>
          <w:kern w:val="28"/>
          <w:sz w:val="24"/>
          <w:szCs w:val="20"/>
        </w:rPr>
        <w:t>招标人与入围的 5 家成交供应商签订《疗休养活动服务年度合作协议》，后续由具体采购人与确定的成交供应商签订单次职工疗休养服务合同，采用固定单价合同模式。</w:t>
      </w:r>
    </w:p>
    <w:p>
      <w:pPr>
        <w:spacing w:line="360" w:lineRule="auto"/>
        <w:rPr>
          <w:rFonts w:ascii="仿宋" w:hAnsi="仿宋" w:eastAsia="仿宋" w:cs="仿宋"/>
          <w:b/>
          <w:bCs/>
          <w:sz w:val="24"/>
        </w:rPr>
      </w:pPr>
      <w:bookmarkStart w:id="61" w:name="_Toc351898267"/>
      <w:r>
        <w:rPr>
          <w:rFonts w:hint="eastAsia" w:ascii="仿宋" w:hAnsi="仿宋" w:eastAsia="仿宋" w:cs="仿宋"/>
          <w:b/>
          <w:bCs/>
          <w:sz w:val="24"/>
        </w:rPr>
        <w:t>（四）</w:t>
      </w:r>
      <w:bookmarkEnd w:id="61"/>
      <w:r>
        <w:rPr>
          <w:rFonts w:hint="eastAsia" w:ascii="仿宋" w:hAnsi="仿宋" w:eastAsia="仿宋" w:cs="仿宋"/>
          <w:b/>
          <w:bCs/>
          <w:sz w:val="24"/>
        </w:rPr>
        <w:t xml:space="preserve">行程安排等基本要求 </w:t>
      </w:r>
    </w:p>
    <w:p>
      <w:pPr>
        <w:tabs>
          <w:tab w:val="center" w:pos="4153"/>
        </w:tabs>
        <w:spacing w:line="360" w:lineRule="auto"/>
        <w:ind w:firstLine="480" w:firstLineChars="200"/>
        <w:rPr>
          <w:rFonts w:ascii="仿宋" w:hAnsi="仿宋" w:eastAsia="仿宋" w:cs="仿宋"/>
          <w:sz w:val="24"/>
        </w:rPr>
      </w:pPr>
      <w:r>
        <w:rPr>
          <w:rFonts w:hint="eastAsia" w:ascii="仿宋" w:hAnsi="仿宋" w:eastAsia="仿宋" w:cs="仿宋"/>
          <w:kern w:val="0"/>
          <w:sz w:val="24"/>
        </w:rPr>
        <w:t>1、</w:t>
      </w:r>
      <w:r>
        <w:rPr>
          <w:rFonts w:hint="eastAsia" w:ascii="仿宋" w:hAnsi="仿宋" w:eastAsia="仿宋" w:cs="仿宋"/>
          <w:sz w:val="24"/>
        </w:rPr>
        <w:t>线路安排（具体出行线路招标后由采购人确定，以下线路供本次招标报价参考，若遇本次招标参考线路之外的线路方案，由采购人与中标人根据实际出行天数、市场价自行协商确定）：</w:t>
      </w:r>
    </w:p>
    <w:p>
      <w:pPr>
        <w:tabs>
          <w:tab w:val="center" w:pos="4153"/>
        </w:tabs>
        <w:spacing w:line="360" w:lineRule="auto"/>
        <w:ind w:firstLine="480" w:firstLineChars="200"/>
        <w:rPr>
          <w:rFonts w:ascii="仿宋" w:hAnsi="仿宋" w:eastAsia="仿宋" w:cs="仿宋"/>
          <w:sz w:val="24"/>
        </w:rPr>
      </w:pPr>
      <w:r>
        <w:rPr>
          <w:rFonts w:hint="eastAsia" w:ascii="仿宋" w:hAnsi="仿宋" w:eastAsia="仿宋" w:cs="仿宋"/>
          <w:sz w:val="24"/>
        </w:rPr>
        <w:t>线路1：劳模工匠五日四晚疗休养行程（费用不高于6000元/人次，含大交通费用）</w:t>
      </w:r>
    </w:p>
    <w:p>
      <w:pPr>
        <w:tabs>
          <w:tab w:val="center" w:pos="4153"/>
        </w:tabs>
        <w:spacing w:line="360" w:lineRule="auto"/>
        <w:ind w:firstLine="480" w:firstLineChars="200"/>
        <w:rPr>
          <w:rFonts w:ascii="仿宋" w:hAnsi="仿宋" w:eastAsia="仿宋" w:cs="仿宋"/>
          <w:sz w:val="24"/>
        </w:rPr>
      </w:pPr>
      <w:r>
        <w:rPr>
          <w:rFonts w:hint="eastAsia" w:ascii="仿宋" w:hAnsi="仿宋" w:eastAsia="仿宋" w:cs="仿宋"/>
          <w:sz w:val="24"/>
        </w:rPr>
        <w:t xml:space="preserve">线路2：机关职工五日四晚疗休养行程（费用不高于 3000 元/人次） </w:t>
      </w:r>
    </w:p>
    <w:p>
      <w:pPr>
        <w:tabs>
          <w:tab w:val="center" w:pos="4153"/>
        </w:tabs>
        <w:spacing w:line="360" w:lineRule="auto"/>
        <w:ind w:firstLine="480" w:firstLineChars="200"/>
        <w:rPr>
          <w:rFonts w:ascii="仿宋" w:hAnsi="仿宋" w:eastAsia="仿宋" w:cs="仿宋"/>
          <w:sz w:val="24"/>
        </w:rPr>
      </w:pPr>
      <w:r>
        <w:rPr>
          <w:rFonts w:hint="eastAsia" w:ascii="仿宋" w:hAnsi="仿宋" w:eastAsia="仿宋" w:cs="仿宋"/>
          <w:sz w:val="24"/>
        </w:rPr>
        <w:t>线路3：一线职工三日两晚疗休养行程（费用不高于 1600 元/人次）</w:t>
      </w:r>
    </w:p>
    <w:p>
      <w:pPr>
        <w:tabs>
          <w:tab w:val="center" w:pos="4153"/>
        </w:tabs>
        <w:spacing w:line="360" w:lineRule="auto"/>
        <w:ind w:firstLine="480" w:firstLineChars="200"/>
        <w:rPr>
          <w:rFonts w:ascii="仿宋" w:hAnsi="仿宋" w:eastAsia="仿宋" w:cs="仿宋"/>
          <w:sz w:val="24"/>
        </w:rPr>
      </w:pPr>
      <w:r>
        <w:rPr>
          <w:rFonts w:hint="eastAsia" w:ascii="仿宋" w:hAnsi="仿宋" w:eastAsia="仿宋" w:cs="仿宋"/>
          <w:sz w:val="24"/>
        </w:rPr>
        <w:t>线路4：一线职工（区内一日）疗休养行程 （费用不高于 400 元/人次）</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sz w:val="24"/>
        </w:rPr>
        <w:t>要求行程安排轻松合理，休闲休养相结合。最终服务过程中包括但不仅限于以上线路，各投标人自行承担报价风险。</w:t>
      </w:r>
    </w:p>
    <w:p>
      <w:pPr>
        <w:pStyle w:val="32"/>
        <w:spacing w:line="360" w:lineRule="auto"/>
        <w:ind w:firstLine="470" w:firstLineChars="196"/>
        <w:rPr>
          <w:rFonts w:ascii="仿宋" w:hAnsi="仿宋" w:eastAsia="仿宋" w:cs="仿宋"/>
          <w:kern w:val="0"/>
          <w:sz w:val="24"/>
          <w:szCs w:val="24"/>
        </w:rPr>
      </w:pPr>
      <w:r>
        <w:rPr>
          <w:rFonts w:hint="eastAsia" w:ascii="仿宋" w:hAnsi="仿宋" w:eastAsia="仿宋" w:cs="仿宋"/>
          <w:kern w:val="0"/>
          <w:sz w:val="24"/>
          <w:szCs w:val="24"/>
        </w:rPr>
        <w:t>2、投标人需在投标文件中提供线路具体行程、出行方式、就餐标准等具体明细，投标报价根据要求提供线路每人次的单价及项目总价。投标单价为投标人综合考虑后的统一单价，不得再有淡季旺季的价格区别。无论采购人在何时出团，均以投标单价为结算依据。投标人应允许中标后任何线路因报名人数不足或者不可抗力因素的不成团，不成团线路采购人不承担任何责任。</w:t>
      </w:r>
    </w:p>
    <w:p>
      <w:pPr>
        <w:pStyle w:val="32"/>
        <w:spacing w:line="360" w:lineRule="auto"/>
        <w:ind w:firstLine="470" w:firstLineChars="196"/>
        <w:rPr>
          <w:rFonts w:ascii="仿宋" w:hAnsi="仿宋" w:eastAsia="仿宋" w:cs="仿宋"/>
          <w:kern w:val="0"/>
          <w:sz w:val="24"/>
          <w:szCs w:val="24"/>
        </w:rPr>
      </w:pPr>
      <w:r>
        <w:rPr>
          <w:rFonts w:hint="eastAsia" w:ascii="仿宋" w:hAnsi="仿宋" w:eastAsia="仿宋" w:cs="仿宋"/>
          <w:kern w:val="0"/>
          <w:sz w:val="24"/>
          <w:szCs w:val="24"/>
        </w:rPr>
        <w:t>3、</w:t>
      </w:r>
      <w:r>
        <w:rPr>
          <w:rFonts w:hint="eastAsia" w:ascii="仿宋" w:hAnsi="仿宋" w:eastAsia="仿宋" w:cs="仿宋"/>
          <w:kern w:val="0"/>
          <w:sz w:val="24"/>
        </w:rPr>
        <w:t>投标报价包括供应商完成本项目所需的一切费用，包括但不限于：交通费（含燃油费、过路费、景点交通费等）、购买交通车票服务费、住宿费、伙食费、景点门票、导游费、保险费及涉及的其他所有费用、税金。要求不进任何购物店,不组织任何自费项目。</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用车要求：汽车统一为全程空调旅游车（3年内购置），必须保证每人一正座（座位按人数1：1.2比例配备）要求车况好，冷暖空调效果好，车内整洁、明亮，司机必须安全行车5年或以上且无重大安全事故和严重交通违规记录，车上需配备晕车药和一次性塑料袋。</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5、住宿：</w:t>
      </w:r>
      <w:r>
        <w:rPr>
          <w:rFonts w:hint="eastAsia" w:ascii="仿宋" w:hAnsi="仿宋" w:eastAsia="仿宋" w:cs="仿宋"/>
          <w:sz w:val="24"/>
        </w:rPr>
        <w:t>住宿综合环境好，要求挂牌四星或网评四钻以上（含）且设施较好的三年以内新装修的酒店（如因男女人数为单，剩下两人须安排一人一间,费用不作增加）。要求标注每天住宿酒店的名称、星级和具体地址，不得出现同级酒店字样，如实际接待中，投标指定酒店无法安排，需要安排同等级星级酒店。</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7、餐饮：</w:t>
      </w:r>
      <w:r>
        <w:rPr>
          <w:rFonts w:hint="eastAsia" w:ascii="仿宋" w:hAnsi="仿宋" w:eastAsia="仿宋" w:cs="仿宋"/>
          <w:sz w:val="24"/>
        </w:rPr>
        <w:t>早餐为酒店早餐，中餐不低于50元/人，晚餐不低于70元/人，餐厅必须有接待资质、环境好的饭店就餐，允许团队等额退餐，自己点菜。中晚餐每桌提供饮料。</w:t>
      </w:r>
    </w:p>
    <w:p>
      <w:pPr>
        <w:tabs>
          <w:tab w:val="center" w:pos="4153"/>
        </w:tabs>
        <w:spacing w:line="360" w:lineRule="auto"/>
        <w:ind w:firstLine="480" w:firstLineChars="200"/>
        <w:rPr>
          <w:rFonts w:ascii="仿宋" w:hAnsi="仿宋" w:eastAsia="仿宋" w:cs="仿宋"/>
          <w:sz w:val="24"/>
        </w:rPr>
      </w:pPr>
      <w:r>
        <w:rPr>
          <w:rFonts w:hint="eastAsia" w:ascii="仿宋" w:hAnsi="仿宋" w:eastAsia="仿宋" w:cs="仿宋"/>
          <w:kern w:val="0"/>
          <w:sz w:val="24"/>
        </w:rPr>
        <w:t>8、要求全程提供持证全陪导游服务（全陪导游须持有导游证3年以上，出团前1周提交疗休养方审核），专职景区讲解服务。</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9、要求为参加疗休养职工提供每人每天2瓶矿泉水、每晚提供水果。</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10、保险：购买疗休养过程中的各类保险（包括：旅行社责任险，旅游意外伤害保险、交通意外险等），做到应保则保，响应文件中应说明具体险种和单人保额。其中，旅行社责任险不少于100万元/人、旅游安全人身意外伤害保险不少于100万元/人。实际实施过程中，中标人必须提供每批疗休养人员购买保险的原始凭证的复印件给采购人。</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11、出发前，每人一个背包，其中需内含疗休养行程1份、注意事项1份及疗休养过程中的必需品，如太阳帽、口罩、水等。</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12、针对疗休养活动中可能发生的突发状况、意外情况等（如：投诉、纠纷、安全事故等），投标人须制定周密、可靠的安全保障和突发事件应急预案，确保在各种情况下参团人员的人身及财产安全，投标人应在响应文件中提供详细说明。如发生其他突发状况、应急状况、意外情况等，由中标人承担全部法律责任和经济赔偿责任，并妥善完成后续保障。</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13、行程可辐射周边地域，但不得有自费的景点或活动，无商业广告及各类产品推销。</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14、围绕疗休养主题，行程突出疗休养特色。</w:t>
      </w:r>
    </w:p>
    <w:p>
      <w:pPr>
        <w:tabs>
          <w:tab w:val="center" w:pos="4153"/>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15、购物：全程不进购物点。</w:t>
      </w:r>
    </w:p>
    <w:p>
      <w:pPr>
        <w:spacing w:line="360" w:lineRule="auto"/>
        <w:rPr>
          <w:rFonts w:ascii="仿宋" w:hAnsi="仿宋" w:eastAsia="仿宋" w:cs="仿宋"/>
          <w:b/>
          <w:bCs/>
          <w:snapToGrid w:val="0"/>
          <w:kern w:val="28"/>
          <w:sz w:val="24"/>
          <w:szCs w:val="20"/>
        </w:rPr>
      </w:pPr>
      <w:r>
        <w:rPr>
          <w:rFonts w:hint="eastAsia" w:ascii="仿宋" w:hAnsi="仿宋" w:eastAsia="仿宋" w:cs="仿宋"/>
          <w:b/>
          <w:bCs/>
          <w:snapToGrid w:val="0"/>
          <w:kern w:val="28"/>
          <w:sz w:val="24"/>
          <w:szCs w:val="20"/>
        </w:rPr>
        <w:t>（五）其它要求</w:t>
      </w:r>
    </w:p>
    <w:p>
      <w:pPr>
        <w:spacing w:line="360" w:lineRule="auto"/>
        <w:ind w:firstLine="420" w:firstLineChars="175"/>
        <w:rPr>
          <w:rFonts w:ascii="仿宋" w:hAnsi="仿宋" w:eastAsia="仿宋" w:cs="仿宋"/>
          <w:snapToGrid w:val="0"/>
          <w:kern w:val="28"/>
          <w:sz w:val="24"/>
          <w:szCs w:val="20"/>
        </w:rPr>
      </w:pPr>
      <w:r>
        <w:rPr>
          <w:rFonts w:hint="eastAsia" w:ascii="仿宋" w:hAnsi="仿宋" w:eastAsia="仿宋" w:cs="仿宋"/>
          <w:snapToGrid w:val="0"/>
          <w:kern w:val="28"/>
          <w:sz w:val="24"/>
          <w:szCs w:val="20"/>
        </w:rPr>
        <w:t>1、投标人需确定一名项目负责人，具有类似疗休养项目经验，负责与采购人就每批次安排具体事宜联系，一旦中标不得随意更换。</w:t>
      </w:r>
    </w:p>
    <w:p>
      <w:pPr>
        <w:spacing w:line="360" w:lineRule="auto"/>
        <w:ind w:firstLine="420" w:firstLineChars="175"/>
        <w:rPr>
          <w:rFonts w:ascii="仿宋" w:hAnsi="仿宋" w:eastAsia="仿宋" w:cs="仿宋"/>
          <w:snapToGrid w:val="0"/>
          <w:kern w:val="28"/>
          <w:sz w:val="24"/>
          <w:szCs w:val="20"/>
        </w:rPr>
      </w:pPr>
      <w:r>
        <w:rPr>
          <w:rFonts w:hint="eastAsia" w:ascii="仿宋" w:hAnsi="仿宋" w:eastAsia="仿宋" w:cs="仿宋"/>
          <w:snapToGrid w:val="0"/>
          <w:kern w:val="28"/>
          <w:sz w:val="24"/>
          <w:szCs w:val="20"/>
        </w:rPr>
        <w:t>2、制定应急预案，发放《行程安排表》和《注意事项》。如遇意外突发事件投标人要在第一时间内进行妥善处理，处理结果要及时与采购人汇报和沟通，并积极配合有关单位做好善后处理工作。</w:t>
      </w:r>
    </w:p>
    <w:p>
      <w:pPr>
        <w:spacing w:line="360" w:lineRule="auto"/>
        <w:ind w:firstLine="420" w:firstLineChars="175"/>
        <w:rPr>
          <w:rFonts w:ascii="仿宋" w:hAnsi="仿宋" w:eastAsia="仿宋" w:cs="仿宋"/>
          <w:snapToGrid w:val="0"/>
          <w:kern w:val="28"/>
          <w:sz w:val="24"/>
          <w:szCs w:val="20"/>
        </w:rPr>
      </w:pPr>
      <w:r>
        <w:rPr>
          <w:rFonts w:hint="eastAsia" w:ascii="仿宋" w:hAnsi="仿宋" w:eastAsia="仿宋" w:cs="仿宋"/>
          <w:snapToGrid w:val="0"/>
          <w:kern w:val="28"/>
          <w:sz w:val="24"/>
          <w:szCs w:val="20"/>
        </w:rPr>
        <w:t>3、做到有问必答。对疗休养人员反映的情况或投诉，不回避矛盾、不推卸责任，对发生的问题予以及时处理，将问题解决在旅途中。</w:t>
      </w:r>
    </w:p>
    <w:p>
      <w:pPr>
        <w:spacing w:line="360" w:lineRule="auto"/>
        <w:ind w:firstLine="420" w:firstLineChars="175"/>
        <w:rPr>
          <w:rFonts w:ascii="仿宋" w:hAnsi="仿宋" w:eastAsia="仿宋" w:cs="仿宋"/>
          <w:snapToGrid w:val="0"/>
          <w:kern w:val="28"/>
          <w:sz w:val="24"/>
          <w:szCs w:val="20"/>
        </w:rPr>
      </w:pPr>
      <w:r>
        <w:rPr>
          <w:rFonts w:hint="eastAsia" w:ascii="仿宋" w:hAnsi="仿宋" w:eastAsia="仿宋" w:cs="仿宋"/>
          <w:snapToGrid w:val="0"/>
          <w:kern w:val="28"/>
          <w:sz w:val="24"/>
          <w:szCs w:val="20"/>
        </w:rPr>
        <w:t>4、参加疗休养人员名单和个人信息不得外泄。</w:t>
      </w:r>
    </w:p>
    <w:p>
      <w:pPr>
        <w:spacing w:line="360" w:lineRule="auto"/>
        <w:ind w:firstLine="420" w:firstLineChars="175"/>
        <w:rPr>
          <w:rFonts w:ascii="仿宋" w:hAnsi="仿宋" w:eastAsia="仿宋" w:cs="仿宋"/>
          <w:snapToGrid w:val="0"/>
          <w:kern w:val="28"/>
          <w:sz w:val="24"/>
          <w:szCs w:val="20"/>
        </w:rPr>
      </w:pPr>
      <w:r>
        <w:rPr>
          <w:rFonts w:hint="eastAsia" w:ascii="仿宋" w:hAnsi="仿宋" w:eastAsia="仿宋" w:cs="仿宋"/>
          <w:snapToGrid w:val="0"/>
          <w:kern w:val="28"/>
          <w:sz w:val="24"/>
          <w:szCs w:val="20"/>
        </w:rPr>
        <w:t>5、疫情期间必须符合相关政策要求。</w:t>
      </w:r>
    </w:p>
    <w:p>
      <w:pPr>
        <w:spacing w:line="360" w:lineRule="auto"/>
        <w:ind w:firstLine="420" w:firstLineChars="175"/>
        <w:rPr>
          <w:rFonts w:ascii="仿宋" w:hAnsi="仿宋" w:eastAsia="仿宋" w:cs="仿宋"/>
          <w:b/>
          <w:sz w:val="24"/>
        </w:rPr>
      </w:pPr>
      <w:r>
        <w:rPr>
          <w:rFonts w:hint="eastAsia" w:ascii="仿宋" w:hAnsi="仿宋" w:eastAsia="仿宋" w:cs="仿宋"/>
          <w:snapToGrid w:val="0"/>
          <w:kern w:val="28"/>
          <w:sz w:val="24"/>
          <w:szCs w:val="20"/>
        </w:rPr>
        <w:t>6、亚运会期间若遇相关政策要求，投标人自行承担投标风险。</w:t>
      </w:r>
    </w:p>
    <w:p>
      <w:pPr>
        <w:spacing w:line="360" w:lineRule="auto"/>
        <w:jc w:val="left"/>
        <w:rPr>
          <w:rFonts w:ascii="仿宋" w:hAnsi="仿宋" w:eastAsia="仿宋" w:cs="仿宋"/>
          <w:b/>
          <w:sz w:val="24"/>
        </w:rPr>
      </w:pPr>
      <w:r>
        <w:rPr>
          <w:rFonts w:hint="eastAsia" w:ascii="仿宋" w:hAnsi="仿宋" w:eastAsia="仿宋" w:cs="仿宋"/>
          <w:b/>
          <w:sz w:val="24"/>
        </w:rPr>
        <w:t>（六）服务期限及承诺</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6.1服务期限：服务期1年。</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6.2服务质量承诺：</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（1）为确保服务质量及与采购人沟通联络，中标人须设置兼职主管，负责对承包项目、范围、服务质量的检查监督及与采购人日常业务联系；</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（2）中标人需提供员工管理服务规范要求及确保服务质量达标的具体措施；</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（3）中标人需向采购人提供服务承诺；</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（4）中标人须主动接受采购人的指导、检查、监督及协调；</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（5）现有服务范围内，由于调整而增加的工作量，不再增加费用；</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（6）因中标人工作人员的失误造成的损失由中标人负责;</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（7）中标人员工在工作及服务期间发生的一切安全事故由中标人负责，与采购人无关。</w:t>
      </w:r>
    </w:p>
    <w:p>
      <w:pPr>
        <w:spacing w:line="360" w:lineRule="auto"/>
        <w:rPr>
          <w:rFonts w:ascii="仿宋" w:hAnsi="仿宋" w:eastAsia="仿宋" w:cs="仿宋"/>
          <w:b/>
          <w:bCs/>
          <w:kern w:val="0"/>
          <w:sz w:val="24"/>
        </w:rPr>
      </w:pPr>
      <w:r>
        <w:rPr>
          <w:rFonts w:hint="eastAsia" w:ascii="仿宋" w:hAnsi="仿宋" w:eastAsia="仿宋" w:cs="仿宋"/>
          <w:b/>
          <w:bCs/>
          <w:kern w:val="0"/>
          <w:sz w:val="24"/>
        </w:rPr>
        <w:t>（七）付款方式</w:t>
      </w:r>
    </w:p>
    <w:p>
      <w:pPr>
        <w:spacing w:line="360" w:lineRule="auto"/>
        <w:ind w:firstLine="480" w:firstLineChars="200"/>
        <w:rPr>
          <w:rFonts w:ascii="仿宋" w:hAnsi="仿宋" w:eastAsia="仿宋" w:cs="仿宋"/>
          <w:kern w:val="0"/>
          <w:sz w:val="24"/>
        </w:rPr>
      </w:pPr>
      <w:r>
        <w:rPr>
          <w:rFonts w:hint="eastAsia" w:ascii="仿宋" w:hAnsi="仿宋" w:eastAsia="仿宋"/>
          <w:sz w:val="24"/>
        </w:rPr>
        <w:t>▲</w:t>
      </w:r>
      <w:r>
        <w:rPr>
          <w:rFonts w:hint="eastAsia" w:ascii="仿宋" w:hAnsi="仿宋" w:eastAsia="仿宋" w:cs="仿宋"/>
          <w:kern w:val="0"/>
          <w:sz w:val="24"/>
        </w:rPr>
        <w:t>7.1费用结算：依据浙财采监【2022】3号，第二条第五款相关规定结算，具体支付方式甲乙双方在合同中明确。</w:t>
      </w:r>
    </w:p>
    <w:p>
      <w:pPr>
        <w:spacing w:line="360" w:lineRule="auto"/>
        <w:ind w:firstLine="480" w:firstLineChars="200"/>
      </w:pPr>
      <w:r>
        <w:rPr>
          <w:rFonts w:hint="eastAsia" w:ascii="仿宋" w:hAnsi="仿宋" w:eastAsia="仿宋" w:cs="仿宋"/>
          <w:kern w:val="0"/>
          <w:sz w:val="24"/>
        </w:rPr>
        <w:t>7.2如遇政策变动，甲方临时取消出行计划，若已支付该批次费用，乙方无条件全额退还。投标人自行承担投标风险。</w:t>
      </w:r>
    </w:p>
    <w:p>
      <w:pPr>
        <w:snapToGrid w:val="0"/>
        <w:spacing w:line="360" w:lineRule="auto"/>
        <w:ind w:firstLine="470" w:firstLineChars="196"/>
        <w:jc w:val="left"/>
        <w:rPr>
          <w:rFonts w:ascii="仿宋" w:hAnsi="仿宋" w:eastAsia="仿宋" w:cs="仿宋"/>
          <w:bCs/>
          <w:sz w:val="24"/>
        </w:rPr>
      </w:pPr>
      <w:r>
        <w:rPr>
          <w:rFonts w:hint="eastAsia" w:ascii="仿宋" w:hAnsi="仿宋" w:eastAsia="仿宋" w:cs="仿宋"/>
          <w:bCs/>
          <w:sz w:val="24"/>
        </w:rPr>
        <w:t>注：</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1.除采购文件明确的品牌外，欢迎其它能满足本项目技术需求且性能与所明确品牌相当的产品参与。</w:t>
      </w:r>
    </w:p>
    <w:p>
      <w:pPr>
        <w:spacing w:line="360" w:lineRule="auto"/>
        <w:ind w:firstLine="440" w:firstLineChars="200"/>
        <w:rPr>
          <w:rFonts w:ascii="仿宋" w:hAnsi="仿宋" w:eastAsia="仿宋" w:cs="仿宋"/>
          <w:sz w:val="24"/>
        </w:rPr>
      </w:pPr>
      <w:r>
        <w:rPr>
          <w:rFonts w:hint="eastAsia" w:ascii="仿宋" w:hAnsi="仿宋" w:eastAsia="仿宋" w:cs="仿宋"/>
          <w:bCs/>
          <w:spacing w:val="-10"/>
          <w:sz w:val="24"/>
        </w:rPr>
        <w:t>2.如有附图，仅作参考</w:t>
      </w:r>
    </w:p>
    <w:p>
      <w:pPr>
        <w:pStyle w:val="4"/>
        <w:rPr>
          <w:rFonts w:cs="仿宋"/>
          <w:color w:val="auto"/>
        </w:rPr>
      </w:pPr>
    </w:p>
    <w:p>
      <w:pPr>
        <w:pStyle w:val="4"/>
        <w:rPr>
          <w:rFonts w:cs="仿宋"/>
          <w:color w:val="auto"/>
        </w:rPr>
      </w:pPr>
    </w:p>
    <w:p>
      <w:pPr>
        <w:rPr>
          <w:rFonts w:ascii="仿宋" w:hAnsi="仿宋" w:eastAsia="仿宋" w:cs="仿宋"/>
        </w:rPr>
      </w:pPr>
    </w:p>
    <w:p>
      <w:pPr>
        <w:pStyle w:val="4"/>
        <w:rPr>
          <w:rFonts w:cs="仿宋"/>
          <w:color w:val="auto"/>
        </w:rPr>
      </w:pPr>
      <w:r>
        <w:rPr>
          <w:rFonts w:hint="eastAsia" w:cs="仿宋"/>
          <w:color w:val="auto"/>
        </w:rPr>
        <w:t xml:space="preserve">第四部分   </w:t>
      </w:r>
      <w:bookmarkStart w:id="62" w:name="_Toc184308046"/>
      <w:bookmarkEnd w:id="62"/>
      <w:bookmarkStart w:id="63" w:name="_Toc184313296"/>
      <w:bookmarkEnd w:id="63"/>
      <w:bookmarkStart w:id="64" w:name="_Toc184314482"/>
      <w:bookmarkEnd w:id="64"/>
      <w:bookmarkStart w:id="65" w:name="_Toc184310288"/>
      <w:bookmarkEnd w:id="65"/>
      <w:bookmarkStart w:id="66" w:name="_Toc184313244"/>
      <w:bookmarkEnd w:id="66"/>
      <w:bookmarkStart w:id="67" w:name="_Toc184314418"/>
      <w:bookmarkEnd w:id="67"/>
      <w:bookmarkStart w:id="68" w:name="_Toc184312087"/>
      <w:bookmarkEnd w:id="68"/>
      <w:bookmarkStart w:id="69" w:name="_Toc184313256"/>
      <w:bookmarkEnd w:id="69"/>
      <w:bookmarkStart w:id="70" w:name="_Toc184312117"/>
      <w:bookmarkEnd w:id="70"/>
      <w:bookmarkStart w:id="71" w:name="_Toc184312068"/>
      <w:bookmarkEnd w:id="71"/>
      <w:bookmarkStart w:id="72" w:name="_Toc184310334"/>
      <w:bookmarkEnd w:id="72"/>
      <w:bookmarkStart w:id="73" w:name="_Toc184312134"/>
      <w:bookmarkEnd w:id="73"/>
      <w:bookmarkStart w:id="74" w:name="_Toc184314446"/>
      <w:bookmarkEnd w:id="74"/>
      <w:bookmarkStart w:id="75" w:name="_Toc184314435"/>
      <w:bookmarkEnd w:id="75"/>
      <w:bookmarkStart w:id="76" w:name="_Toc184314439"/>
      <w:bookmarkEnd w:id="76"/>
      <w:bookmarkStart w:id="77" w:name="_Toc184313268"/>
      <w:bookmarkEnd w:id="77"/>
      <w:bookmarkStart w:id="78" w:name="_Toc184310286"/>
      <w:bookmarkEnd w:id="78"/>
      <w:bookmarkStart w:id="79" w:name="_Toc184310302"/>
      <w:bookmarkEnd w:id="79"/>
      <w:bookmarkStart w:id="80" w:name="_Toc184310311"/>
      <w:bookmarkEnd w:id="80"/>
      <w:bookmarkStart w:id="81" w:name="_Toc184310315"/>
      <w:bookmarkEnd w:id="81"/>
      <w:bookmarkStart w:id="82" w:name="_Toc184313271"/>
      <w:bookmarkEnd w:id="82"/>
      <w:bookmarkStart w:id="83" w:name="_Toc184312133"/>
      <w:bookmarkEnd w:id="83"/>
      <w:bookmarkStart w:id="84" w:name="_Toc184314476"/>
      <w:bookmarkEnd w:id="84"/>
      <w:bookmarkStart w:id="85" w:name="_Toc184310296"/>
      <w:bookmarkEnd w:id="85"/>
      <w:bookmarkStart w:id="86" w:name="_Toc184312137"/>
      <w:bookmarkEnd w:id="86"/>
      <w:bookmarkStart w:id="87" w:name="_Toc184312100"/>
      <w:bookmarkEnd w:id="87"/>
      <w:bookmarkStart w:id="88" w:name="_Toc184312108"/>
      <w:bookmarkEnd w:id="88"/>
      <w:bookmarkStart w:id="89" w:name="_Toc184314456"/>
      <w:bookmarkEnd w:id="89"/>
      <w:bookmarkStart w:id="90" w:name="_Toc184310278"/>
      <w:bookmarkEnd w:id="90"/>
      <w:bookmarkStart w:id="91" w:name="_Toc184312139"/>
      <w:bookmarkEnd w:id="91"/>
      <w:bookmarkStart w:id="92" w:name="_Toc184312076"/>
      <w:bookmarkEnd w:id="92"/>
      <w:bookmarkStart w:id="93" w:name="_Toc184310332"/>
      <w:bookmarkEnd w:id="93"/>
      <w:bookmarkStart w:id="94" w:name="_Toc184308055"/>
      <w:bookmarkEnd w:id="94"/>
      <w:bookmarkStart w:id="95" w:name="_Toc184314477"/>
      <w:bookmarkEnd w:id="95"/>
      <w:bookmarkStart w:id="96" w:name="_Toc184314412"/>
      <w:bookmarkEnd w:id="96"/>
      <w:bookmarkStart w:id="97" w:name="_Toc184312138"/>
      <w:bookmarkEnd w:id="97"/>
      <w:bookmarkStart w:id="98" w:name="_Toc184308048"/>
      <w:bookmarkEnd w:id="98"/>
      <w:bookmarkStart w:id="99" w:name="_Toc184308101"/>
      <w:bookmarkEnd w:id="99"/>
      <w:bookmarkStart w:id="100" w:name="_Toc184313238"/>
      <w:bookmarkEnd w:id="100"/>
      <w:bookmarkStart w:id="101" w:name="_Toc184310294"/>
      <w:bookmarkEnd w:id="101"/>
      <w:bookmarkStart w:id="102" w:name="_Toc184310299"/>
      <w:bookmarkEnd w:id="102"/>
      <w:bookmarkStart w:id="103" w:name="_Toc184308062"/>
      <w:bookmarkEnd w:id="103"/>
      <w:bookmarkStart w:id="104" w:name="_Toc184308060"/>
      <w:bookmarkEnd w:id="104"/>
      <w:bookmarkStart w:id="105" w:name="_Toc184310273"/>
      <w:bookmarkEnd w:id="105"/>
      <w:bookmarkStart w:id="106" w:name="_Toc184308065"/>
      <w:bookmarkEnd w:id="106"/>
      <w:bookmarkStart w:id="107" w:name="_Toc184313307"/>
      <w:bookmarkEnd w:id="107"/>
      <w:bookmarkStart w:id="108" w:name="_Toc184308043"/>
      <w:bookmarkEnd w:id="108"/>
      <w:bookmarkStart w:id="109" w:name="_Toc184312102"/>
      <w:bookmarkEnd w:id="109"/>
      <w:bookmarkStart w:id="110" w:name="_Toc184313269"/>
      <w:bookmarkEnd w:id="110"/>
      <w:bookmarkStart w:id="111" w:name="_Toc184314448"/>
      <w:bookmarkEnd w:id="111"/>
      <w:bookmarkStart w:id="112" w:name="_Toc184314414"/>
      <w:bookmarkEnd w:id="112"/>
      <w:bookmarkStart w:id="113" w:name="_Toc184313274"/>
      <w:bookmarkEnd w:id="113"/>
      <w:bookmarkStart w:id="114" w:name="_Toc184313309"/>
      <w:bookmarkEnd w:id="114"/>
      <w:bookmarkStart w:id="115" w:name="_Toc184314436"/>
      <w:bookmarkEnd w:id="115"/>
      <w:bookmarkStart w:id="116" w:name="_Toc184310300"/>
      <w:bookmarkEnd w:id="116"/>
      <w:bookmarkStart w:id="117" w:name="_Toc184313281"/>
      <w:bookmarkEnd w:id="117"/>
      <w:bookmarkStart w:id="118" w:name="_Toc184314467"/>
      <w:bookmarkEnd w:id="118"/>
      <w:bookmarkStart w:id="119" w:name="_Toc184308050"/>
      <w:bookmarkEnd w:id="119"/>
      <w:bookmarkStart w:id="120" w:name="_Toc184308068"/>
      <w:bookmarkEnd w:id="120"/>
      <w:bookmarkStart w:id="121" w:name="_Toc184314449"/>
      <w:bookmarkEnd w:id="121"/>
      <w:bookmarkStart w:id="122" w:name="_Toc184313270"/>
      <w:bookmarkEnd w:id="122"/>
      <w:bookmarkStart w:id="123" w:name="_Toc184310303"/>
      <w:bookmarkEnd w:id="123"/>
      <w:bookmarkStart w:id="124" w:name="_Toc184312103"/>
      <w:bookmarkEnd w:id="124"/>
      <w:bookmarkStart w:id="125" w:name="_Toc184313289"/>
      <w:bookmarkEnd w:id="125"/>
      <w:bookmarkStart w:id="126" w:name="_Toc184308088"/>
      <w:bookmarkEnd w:id="126"/>
      <w:bookmarkStart w:id="127" w:name="_Toc184314427"/>
      <w:bookmarkEnd w:id="127"/>
      <w:bookmarkStart w:id="128" w:name="_Toc184313283"/>
      <w:bookmarkEnd w:id="128"/>
      <w:bookmarkStart w:id="129" w:name="_Toc184312129"/>
      <w:bookmarkEnd w:id="129"/>
      <w:bookmarkStart w:id="130" w:name="_Toc184313260"/>
      <w:bookmarkEnd w:id="130"/>
      <w:bookmarkStart w:id="131" w:name="_Toc184310328"/>
      <w:bookmarkEnd w:id="131"/>
      <w:bookmarkStart w:id="132" w:name="_Toc184310297"/>
      <w:bookmarkEnd w:id="132"/>
      <w:bookmarkStart w:id="133" w:name="_Toc184314430"/>
      <w:bookmarkEnd w:id="133"/>
      <w:bookmarkStart w:id="134" w:name="_Toc184312094"/>
      <w:bookmarkEnd w:id="134"/>
      <w:bookmarkStart w:id="135" w:name="_Toc184308108"/>
      <w:bookmarkEnd w:id="135"/>
      <w:bookmarkStart w:id="136" w:name="_Toc184313255"/>
      <w:bookmarkEnd w:id="136"/>
      <w:bookmarkStart w:id="137" w:name="_Toc184310282"/>
      <w:bookmarkEnd w:id="137"/>
      <w:bookmarkStart w:id="138" w:name="_Toc184310319"/>
      <w:bookmarkEnd w:id="138"/>
      <w:bookmarkStart w:id="139" w:name="_Toc184308089"/>
      <w:bookmarkEnd w:id="139"/>
      <w:bookmarkStart w:id="140" w:name="_Toc184312091"/>
      <w:bookmarkEnd w:id="140"/>
      <w:bookmarkStart w:id="141" w:name="_Toc184314433"/>
      <w:bookmarkEnd w:id="141"/>
      <w:bookmarkStart w:id="142" w:name="_Toc184313280"/>
      <w:bookmarkEnd w:id="142"/>
      <w:bookmarkStart w:id="143" w:name="_Toc184310293"/>
      <w:bookmarkEnd w:id="143"/>
      <w:bookmarkStart w:id="144" w:name="_Toc184313290"/>
      <w:bookmarkEnd w:id="144"/>
      <w:bookmarkStart w:id="145" w:name="_Toc184314423"/>
      <w:bookmarkEnd w:id="145"/>
      <w:bookmarkStart w:id="146" w:name="_Toc184308057"/>
      <w:bookmarkEnd w:id="146"/>
      <w:bookmarkStart w:id="147" w:name="_Toc184312132"/>
      <w:bookmarkEnd w:id="147"/>
      <w:bookmarkStart w:id="148" w:name="_Toc184312090"/>
      <w:bookmarkEnd w:id="148"/>
      <w:bookmarkStart w:id="149" w:name="_Toc184314426"/>
      <w:bookmarkEnd w:id="149"/>
      <w:bookmarkStart w:id="150" w:name="_Toc184308077"/>
      <w:bookmarkEnd w:id="150"/>
      <w:bookmarkStart w:id="151" w:name="_Toc184314469"/>
      <w:bookmarkEnd w:id="151"/>
      <w:bookmarkStart w:id="152" w:name="_Toc184312099"/>
      <w:bookmarkEnd w:id="152"/>
      <w:bookmarkStart w:id="153" w:name="_Toc184314470"/>
      <w:bookmarkEnd w:id="153"/>
      <w:bookmarkStart w:id="154" w:name="_Toc184308104"/>
      <w:bookmarkEnd w:id="154"/>
      <w:bookmarkStart w:id="155" w:name="_Toc184310291"/>
      <w:bookmarkEnd w:id="155"/>
      <w:bookmarkStart w:id="156" w:name="_Toc184310324"/>
      <w:bookmarkEnd w:id="156"/>
      <w:bookmarkStart w:id="157" w:name="_Toc184312111"/>
      <w:bookmarkEnd w:id="157"/>
      <w:bookmarkStart w:id="158" w:name="_Toc184312080"/>
      <w:bookmarkEnd w:id="158"/>
      <w:bookmarkStart w:id="159" w:name="_Toc184313286"/>
      <w:bookmarkEnd w:id="159"/>
      <w:bookmarkStart w:id="160" w:name="_Toc184314451"/>
      <w:bookmarkEnd w:id="160"/>
      <w:bookmarkStart w:id="161" w:name="_Toc184308047"/>
      <w:bookmarkEnd w:id="161"/>
      <w:bookmarkStart w:id="162" w:name="_Toc184308094"/>
      <w:bookmarkEnd w:id="162"/>
      <w:bookmarkStart w:id="163" w:name="_Toc184314461"/>
      <w:bookmarkEnd w:id="163"/>
      <w:bookmarkStart w:id="164" w:name="_Toc184308075"/>
      <w:bookmarkEnd w:id="164"/>
      <w:bookmarkStart w:id="165" w:name="_Toc184310301"/>
      <w:bookmarkEnd w:id="165"/>
      <w:bookmarkStart w:id="166" w:name="_Toc184312110"/>
      <w:bookmarkEnd w:id="166"/>
      <w:bookmarkStart w:id="167" w:name="_Toc184310285"/>
      <w:bookmarkEnd w:id="167"/>
      <w:bookmarkStart w:id="168" w:name="_Toc184308037"/>
      <w:bookmarkEnd w:id="168"/>
      <w:bookmarkStart w:id="169" w:name="_Toc184314424"/>
      <w:bookmarkEnd w:id="169"/>
      <w:bookmarkStart w:id="170" w:name="_Toc184308049"/>
      <w:bookmarkEnd w:id="170"/>
      <w:bookmarkStart w:id="171" w:name="_Toc184308083"/>
      <w:bookmarkEnd w:id="171"/>
      <w:bookmarkStart w:id="172" w:name="_Toc184312074"/>
      <w:bookmarkEnd w:id="172"/>
      <w:bookmarkStart w:id="173" w:name="_Toc184308084"/>
      <w:bookmarkEnd w:id="173"/>
      <w:bookmarkStart w:id="174" w:name="_Toc184310292"/>
      <w:bookmarkEnd w:id="174"/>
      <w:bookmarkStart w:id="175" w:name="_Toc184308071"/>
      <w:bookmarkEnd w:id="175"/>
      <w:bookmarkStart w:id="176" w:name="_Toc184313306"/>
      <w:bookmarkEnd w:id="176"/>
      <w:bookmarkStart w:id="177" w:name="_Toc184313293"/>
      <w:bookmarkEnd w:id="177"/>
      <w:bookmarkStart w:id="178" w:name="_Toc184314431"/>
      <w:bookmarkEnd w:id="178"/>
      <w:bookmarkStart w:id="179" w:name="_Toc184308100"/>
      <w:bookmarkEnd w:id="179"/>
      <w:bookmarkStart w:id="180" w:name="_Toc184308105"/>
      <w:bookmarkEnd w:id="180"/>
      <w:bookmarkStart w:id="181" w:name="_Toc184313284"/>
      <w:bookmarkEnd w:id="181"/>
      <w:bookmarkStart w:id="182" w:name="_Toc184313277"/>
      <w:bookmarkEnd w:id="182"/>
      <w:bookmarkStart w:id="183" w:name="_Toc184312088"/>
      <w:bookmarkEnd w:id="183"/>
      <w:bookmarkStart w:id="184" w:name="_Toc184313292"/>
      <w:bookmarkEnd w:id="184"/>
      <w:bookmarkStart w:id="185" w:name="_Toc184310312"/>
      <w:bookmarkEnd w:id="185"/>
      <w:bookmarkStart w:id="186" w:name="_Toc184308087"/>
      <w:bookmarkEnd w:id="186"/>
      <w:bookmarkStart w:id="187" w:name="_Toc184310295"/>
      <w:bookmarkEnd w:id="187"/>
      <w:bookmarkStart w:id="188" w:name="_Toc184314410"/>
      <w:bookmarkEnd w:id="188"/>
      <w:bookmarkStart w:id="189" w:name="_Toc184310305"/>
      <w:bookmarkEnd w:id="189"/>
      <w:bookmarkStart w:id="190" w:name="_Toc184314417"/>
      <w:bookmarkEnd w:id="190"/>
      <w:bookmarkStart w:id="191" w:name="_Toc184312079"/>
      <w:bookmarkEnd w:id="191"/>
      <w:bookmarkStart w:id="192" w:name="_Toc184312078"/>
      <w:bookmarkEnd w:id="192"/>
      <w:bookmarkStart w:id="193" w:name="_Toc184314428"/>
      <w:bookmarkEnd w:id="193"/>
      <w:bookmarkStart w:id="194" w:name="_Toc184312081"/>
      <w:bookmarkEnd w:id="194"/>
      <w:bookmarkStart w:id="195" w:name="_Toc184308076"/>
      <w:bookmarkEnd w:id="195"/>
      <w:bookmarkStart w:id="196" w:name="_Toc184312136"/>
      <w:bookmarkEnd w:id="196"/>
      <w:bookmarkStart w:id="197" w:name="_Toc184310321"/>
      <w:bookmarkEnd w:id="197"/>
      <w:bookmarkStart w:id="198" w:name="_Toc184310338"/>
      <w:bookmarkEnd w:id="198"/>
      <w:bookmarkStart w:id="199" w:name="_Toc184310279"/>
      <w:bookmarkEnd w:id="199"/>
      <w:bookmarkStart w:id="200" w:name="_Toc184312098"/>
      <w:bookmarkEnd w:id="200"/>
      <w:bookmarkStart w:id="201" w:name="_Toc184310322"/>
      <w:bookmarkEnd w:id="201"/>
      <w:bookmarkStart w:id="202" w:name="_Toc184314462"/>
      <w:bookmarkEnd w:id="202"/>
      <w:bookmarkStart w:id="203" w:name="_Toc184310309"/>
      <w:bookmarkEnd w:id="203"/>
      <w:bookmarkStart w:id="204" w:name="_Toc184310325"/>
      <w:bookmarkEnd w:id="204"/>
      <w:bookmarkStart w:id="205" w:name="_Toc184313305"/>
      <w:bookmarkEnd w:id="205"/>
      <w:bookmarkStart w:id="206" w:name="_Toc184312092"/>
      <w:bookmarkEnd w:id="206"/>
      <w:bookmarkStart w:id="207" w:name="_Toc184313276"/>
      <w:bookmarkEnd w:id="207"/>
      <w:bookmarkStart w:id="208" w:name="_Toc184308059"/>
      <w:bookmarkEnd w:id="208"/>
      <w:bookmarkStart w:id="209" w:name="_Toc184313262"/>
      <w:bookmarkEnd w:id="209"/>
      <w:bookmarkStart w:id="210" w:name="_Toc184313302"/>
      <w:bookmarkEnd w:id="210"/>
      <w:bookmarkStart w:id="211" w:name="_Toc184308051"/>
      <w:bookmarkEnd w:id="211"/>
      <w:bookmarkStart w:id="212" w:name="_Toc184312073"/>
      <w:bookmarkEnd w:id="212"/>
      <w:bookmarkStart w:id="213" w:name="_Toc184308098"/>
      <w:bookmarkEnd w:id="213"/>
      <w:bookmarkStart w:id="214" w:name="_Toc184308096"/>
      <w:bookmarkEnd w:id="214"/>
      <w:bookmarkStart w:id="215" w:name="_Toc184314447"/>
      <w:bookmarkEnd w:id="215"/>
      <w:bookmarkStart w:id="216" w:name="_Toc184310318"/>
      <w:bookmarkEnd w:id="216"/>
      <w:bookmarkStart w:id="217" w:name="_Toc184314429"/>
      <w:bookmarkEnd w:id="217"/>
      <w:bookmarkStart w:id="218" w:name="_Toc184310340"/>
      <w:bookmarkEnd w:id="218"/>
      <w:bookmarkStart w:id="219" w:name="_Toc184310284"/>
      <w:bookmarkEnd w:id="219"/>
      <w:bookmarkStart w:id="220" w:name="_Toc184312126"/>
      <w:bookmarkEnd w:id="220"/>
      <w:bookmarkStart w:id="221" w:name="_Toc184308054"/>
      <w:bookmarkEnd w:id="221"/>
      <w:bookmarkStart w:id="222" w:name="_Toc184314443"/>
      <w:bookmarkEnd w:id="222"/>
      <w:bookmarkStart w:id="223" w:name="_Toc184314478"/>
      <w:bookmarkEnd w:id="223"/>
      <w:bookmarkStart w:id="224" w:name="_Toc184308106"/>
      <w:bookmarkEnd w:id="224"/>
      <w:bookmarkStart w:id="225" w:name="_Toc184313273"/>
      <w:bookmarkEnd w:id="225"/>
      <w:bookmarkStart w:id="226" w:name="_Toc184310339"/>
      <w:bookmarkEnd w:id="226"/>
      <w:bookmarkStart w:id="227" w:name="_Toc184310341"/>
      <w:bookmarkEnd w:id="227"/>
      <w:bookmarkStart w:id="228" w:name="_Toc184310344"/>
      <w:bookmarkEnd w:id="228"/>
      <w:bookmarkStart w:id="229" w:name="_Toc184310306"/>
      <w:bookmarkEnd w:id="229"/>
      <w:bookmarkStart w:id="230" w:name="_Toc184308056"/>
      <w:bookmarkEnd w:id="230"/>
      <w:bookmarkStart w:id="231" w:name="_Toc184308067"/>
      <w:bookmarkEnd w:id="231"/>
      <w:bookmarkStart w:id="232" w:name="_Toc184308058"/>
      <w:bookmarkEnd w:id="232"/>
      <w:bookmarkStart w:id="233" w:name="_Toc184314422"/>
      <w:bookmarkEnd w:id="233"/>
      <w:bookmarkStart w:id="234" w:name="_Toc184312106"/>
      <w:bookmarkEnd w:id="234"/>
      <w:bookmarkStart w:id="235" w:name="_Toc184313241"/>
      <w:bookmarkEnd w:id="235"/>
      <w:bookmarkStart w:id="236" w:name="_Toc184308064"/>
      <w:bookmarkEnd w:id="236"/>
      <w:bookmarkStart w:id="237" w:name="_Toc184312131"/>
      <w:bookmarkEnd w:id="237"/>
      <w:bookmarkStart w:id="238" w:name="_Toc184312122"/>
      <w:bookmarkEnd w:id="238"/>
      <w:bookmarkStart w:id="239" w:name="_Toc184312089"/>
      <w:bookmarkEnd w:id="239"/>
      <w:bookmarkStart w:id="240" w:name="_Toc184313265"/>
      <w:bookmarkEnd w:id="240"/>
      <w:bookmarkStart w:id="241" w:name="_Toc184313261"/>
      <w:bookmarkEnd w:id="241"/>
      <w:bookmarkStart w:id="242" w:name="_Toc184308070"/>
      <w:bookmarkEnd w:id="242"/>
      <w:bookmarkStart w:id="243" w:name="_Toc184314442"/>
      <w:bookmarkEnd w:id="243"/>
      <w:bookmarkStart w:id="244" w:name="_Toc184313303"/>
      <w:bookmarkEnd w:id="244"/>
      <w:bookmarkStart w:id="245" w:name="_Toc184313239"/>
      <w:bookmarkEnd w:id="245"/>
      <w:bookmarkStart w:id="246" w:name="_Toc184312071"/>
      <w:bookmarkEnd w:id="246"/>
      <w:bookmarkStart w:id="247" w:name="_Toc184314450"/>
      <w:bookmarkEnd w:id="247"/>
      <w:bookmarkStart w:id="248" w:name="_Toc184313308"/>
      <w:bookmarkEnd w:id="248"/>
      <w:bookmarkStart w:id="249" w:name="_Toc184312114"/>
      <w:bookmarkEnd w:id="249"/>
      <w:bookmarkStart w:id="250" w:name="_Toc184314464"/>
      <w:bookmarkEnd w:id="250"/>
      <w:bookmarkStart w:id="251" w:name="_Toc184314444"/>
      <w:bookmarkEnd w:id="251"/>
      <w:bookmarkStart w:id="252" w:name="_Toc184314411"/>
      <w:bookmarkEnd w:id="252"/>
      <w:bookmarkStart w:id="253" w:name="_Toc184314459"/>
      <w:bookmarkEnd w:id="253"/>
      <w:bookmarkStart w:id="254" w:name="_Toc184314416"/>
      <w:bookmarkEnd w:id="254"/>
      <w:bookmarkStart w:id="255" w:name="_Toc184312121"/>
      <w:bookmarkEnd w:id="255"/>
      <w:bookmarkStart w:id="256" w:name="_Toc184312069"/>
      <w:bookmarkEnd w:id="256"/>
      <w:bookmarkStart w:id="257" w:name="_Toc184310283"/>
      <w:bookmarkEnd w:id="257"/>
      <w:bookmarkStart w:id="258" w:name="_Toc184310313"/>
      <w:bookmarkEnd w:id="258"/>
      <w:bookmarkStart w:id="259" w:name="_Toc184314465"/>
      <w:bookmarkEnd w:id="259"/>
      <w:bookmarkStart w:id="260" w:name="_Toc184308086"/>
      <w:bookmarkEnd w:id="260"/>
      <w:bookmarkStart w:id="261" w:name="_Toc184312082"/>
      <w:bookmarkEnd w:id="261"/>
      <w:bookmarkStart w:id="262" w:name="_Toc184314454"/>
      <w:bookmarkEnd w:id="262"/>
      <w:bookmarkStart w:id="263" w:name="_Toc184313275"/>
      <w:bookmarkEnd w:id="263"/>
      <w:bookmarkStart w:id="264" w:name="_Toc184310316"/>
      <w:bookmarkEnd w:id="264"/>
      <w:bookmarkStart w:id="265" w:name="_Toc184310342"/>
      <w:bookmarkEnd w:id="265"/>
      <w:bookmarkStart w:id="266" w:name="_Toc184314480"/>
      <w:bookmarkEnd w:id="266"/>
      <w:bookmarkStart w:id="267" w:name="_Toc184312104"/>
      <w:bookmarkEnd w:id="267"/>
      <w:bookmarkStart w:id="268" w:name="_Toc184308069"/>
      <w:bookmarkEnd w:id="268"/>
      <w:bookmarkStart w:id="269" w:name="_Toc184313272"/>
      <w:bookmarkEnd w:id="269"/>
      <w:bookmarkStart w:id="270" w:name="_Toc184308092"/>
      <w:bookmarkEnd w:id="270"/>
      <w:bookmarkStart w:id="271" w:name="_Toc184314438"/>
      <w:bookmarkEnd w:id="271"/>
      <w:bookmarkStart w:id="272" w:name="_Toc184310276"/>
      <w:bookmarkEnd w:id="272"/>
      <w:bookmarkStart w:id="273" w:name="_Toc184312101"/>
      <w:bookmarkEnd w:id="273"/>
      <w:bookmarkStart w:id="274" w:name="_Toc184312107"/>
      <w:bookmarkEnd w:id="274"/>
      <w:bookmarkStart w:id="275" w:name="_Toc184312086"/>
      <w:bookmarkEnd w:id="275"/>
      <w:bookmarkStart w:id="276" w:name="_Toc184314472"/>
      <w:bookmarkEnd w:id="276"/>
      <w:bookmarkStart w:id="277" w:name="_Toc184308045"/>
      <w:bookmarkEnd w:id="277"/>
      <w:bookmarkStart w:id="278" w:name="_Toc184312075"/>
      <w:bookmarkEnd w:id="278"/>
      <w:bookmarkStart w:id="279" w:name="_Toc184314434"/>
      <w:bookmarkEnd w:id="279"/>
      <w:bookmarkStart w:id="280" w:name="_Toc184314466"/>
      <w:bookmarkEnd w:id="280"/>
      <w:bookmarkStart w:id="281" w:name="_Toc184308082"/>
      <w:bookmarkEnd w:id="281"/>
      <w:bookmarkStart w:id="282" w:name="_Toc184310281"/>
      <w:bookmarkEnd w:id="282"/>
      <w:bookmarkStart w:id="283" w:name="_Toc184312085"/>
      <w:bookmarkEnd w:id="283"/>
      <w:bookmarkStart w:id="284" w:name="_Toc184314471"/>
      <w:bookmarkEnd w:id="284"/>
      <w:bookmarkStart w:id="285" w:name="_Toc184313263"/>
      <w:bookmarkEnd w:id="285"/>
      <w:bookmarkStart w:id="286" w:name="_Toc184308066"/>
      <w:bookmarkEnd w:id="286"/>
      <w:bookmarkStart w:id="287" w:name="_Toc184312118"/>
      <w:bookmarkEnd w:id="287"/>
      <w:bookmarkStart w:id="288" w:name="_Toc184312119"/>
      <w:bookmarkEnd w:id="288"/>
      <w:bookmarkStart w:id="289" w:name="_Toc184310307"/>
      <w:bookmarkEnd w:id="289"/>
      <w:bookmarkStart w:id="290" w:name="_Toc184308090"/>
      <w:bookmarkEnd w:id="290"/>
      <w:bookmarkStart w:id="291" w:name="_Toc184308081"/>
      <w:bookmarkEnd w:id="291"/>
      <w:bookmarkStart w:id="292" w:name="_Toc184308042"/>
      <w:bookmarkEnd w:id="292"/>
      <w:bookmarkStart w:id="293" w:name="_Toc184308036"/>
      <w:bookmarkEnd w:id="293"/>
      <w:bookmarkStart w:id="294" w:name="_Toc184312135"/>
      <w:bookmarkEnd w:id="294"/>
      <w:bookmarkStart w:id="295" w:name="_Toc184308061"/>
      <w:bookmarkEnd w:id="295"/>
      <w:bookmarkStart w:id="296" w:name="_Toc184308074"/>
      <w:bookmarkEnd w:id="296"/>
      <w:bookmarkStart w:id="297" w:name="_Toc184313304"/>
      <w:bookmarkEnd w:id="297"/>
      <w:bookmarkStart w:id="298" w:name="_Toc184313251"/>
      <w:bookmarkEnd w:id="298"/>
      <w:bookmarkStart w:id="299" w:name="_Toc184310331"/>
      <w:bookmarkEnd w:id="299"/>
      <w:bookmarkStart w:id="300" w:name="_Toc184313259"/>
      <w:bookmarkEnd w:id="300"/>
      <w:bookmarkStart w:id="301" w:name="_Toc184310274"/>
      <w:bookmarkEnd w:id="301"/>
      <w:bookmarkStart w:id="302" w:name="_Toc184310280"/>
      <w:bookmarkEnd w:id="302"/>
      <w:bookmarkStart w:id="303" w:name="_Toc184310320"/>
      <w:bookmarkEnd w:id="303"/>
      <w:bookmarkStart w:id="304" w:name="_Toc184314445"/>
      <w:bookmarkEnd w:id="304"/>
      <w:bookmarkStart w:id="305" w:name="_Toc184313257"/>
      <w:bookmarkEnd w:id="305"/>
      <w:bookmarkStart w:id="306" w:name="_Toc184312105"/>
      <w:bookmarkEnd w:id="306"/>
      <w:bookmarkStart w:id="307" w:name="_Toc184313245"/>
      <w:bookmarkEnd w:id="307"/>
      <w:bookmarkStart w:id="308" w:name="_Toc184310289"/>
      <w:bookmarkEnd w:id="308"/>
      <w:bookmarkStart w:id="309" w:name="_Toc184310272"/>
      <w:bookmarkEnd w:id="309"/>
      <w:bookmarkStart w:id="310" w:name="_Toc184308085"/>
      <w:bookmarkEnd w:id="310"/>
      <w:bookmarkStart w:id="311" w:name="_Toc184313297"/>
      <w:bookmarkEnd w:id="311"/>
      <w:bookmarkStart w:id="312" w:name="_Toc184310314"/>
      <w:bookmarkEnd w:id="312"/>
      <w:bookmarkStart w:id="313" w:name="_Toc184310277"/>
      <w:bookmarkEnd w:id="313"/>
      <w:bookmarkStart w:id="314" w:name="_Toc184314413"/>
      <w:bookmarkEnd w:id="314"/>
      <w:bookmarkStart w:id="315" w:name="_Toc184312130"/>
      <w:bookmarkEnd w:id="315"/>
      <w:bookmarkStart w:id="316" w:name="_Toc184308053"/>
      <w:bookmarkEnd w:id="316"/>
      <w:bookmarkStart w:id="317" w:name="_Toc184314420"/>
      <w:bookmarkEnd w:id="317"/>
      <w:bookmarkStart w:id="318" w:name="_Toc184308041"/>
      <w:bookmarkEnd w:id="318"/>
      <w:bookmarkStart w:id="319" w:name="_Toc184308095"/>
      <w:bookmarkEnd w:id="319"/>
      <w:bookmarkStart w:id="320" w:name="_Toc184308044"/>
      <w:bookmarkEnd w:id="320"/>
      <w:bookmarkStart w:id="321" w:name="_Toc184310343"/>
      <w:bookmarkEnd w:id="321"/>
      <w:bookmarkStart w:id="322" w:name="_Toc184314437"/>
      <w:bookmarkEnd w:id="322"/>
      <w:bookmarkStart w:id="323" w:name="_Toc184312095"/>
      <w:bookmarkEnd w:id="323"/>
      <w:bookmarkStart w:id="324" w:name="_Toc184308072"/>
      <w:bookmarkEnd w:id="324"/>
      <w:bookmarkStart w:id="325" w:name="_Toc184314460"/>
      <w:bookmarkEnd w:id="325"/>
      <w:bookmarkStart w:id="326" w:name="_Toc184310336"/>
      <w:bookmarkEnd w:id="326"/>
      <w:bookmarkStart w:id="327" w:name="_Toc184308107"/>
      <w:bookmarkEnd w:id="327"/>
      <w:bookmarkStart w:id="328" w:name="_Toc184313249"/>
      <w:bookmarkEnd w:id="328"/>
      <w:bookmarkStart w:id="329" w:name="_Toc184314463"/>
      <w:bookmarkEnd w:id="329"/>
      <w:bookmarkStart w:id="330" w:name="_Toc184313264"/>
      <w:bookmarkEnd w:id="330"/>
      <w:bookmarkStart w:id="331" w:name="_Toc184313247"/>
      <w:bookmarkEnd w:id="331"/>
      <w:bookmarkStart w:id="332" w:name="_Toc184313248"/>
      <w:bookmarkEnd w:id="332"/>
      <w:bookmarkStart w:id="333" w:name="_Toc184313301"/>
      <w:bookmarkEnd w:id="333"/>
      <w:bookmarkStart w:id="334" w:name="_Toc184313287"/>
      <w:bookmarkEnd w:id="334"/>
      <w:bookmarkStart w:id="335" w:name="_Toc184313267"/>
      <w:bookmarkEnd w:id="335"/>
      <w:bookmarkStart w:id="336" w:name="_Toc184314468"/>
      <w:bookmarkEnd w:id="336"/>
      <w:bookmarkStart w:id="337" w:name="_Toc184313282"/>
      <w:bookmarkEnd w:id="337"/>
      <w:bookmarkStart w:id="338" w:name="_Toc184308063"/>
      <w:bookmarkEnd w:id="338"/>
      <w:bookmarkStart w:id="339" w:name="_Toc184312093"/>
      <w:bookmarkEnd w:id="339"/>
      <w:bookmarkStart w:id="340" w:name="_Toc184312097"/>
      <w:bookmarkEnd w:id="340"/>
      <w:bookmarkStart w:id="341" w:name="_Toc184313266"/>
      <w:bookmarkEnd w:id="341"/>
      <w:bookmarkStart w:id="342" w:name="_Toc184313243"/>
      <w:bookmarkEnd w:id="342"/>
      <w:bookmarkStart w:id="343" w:name="_Toc184312128"/>
      <w:bookmarkEnd w:id="343"/>
      <w:bookmarkStart w:id="344" w:name="_Toc184308080"/>
      <w:bookmarkEnd w:id="344"/>
      <w:bookmarkStart w:id="345" w:name="_Toc184310298"/>
      <w:bookmarkEnd w:id="345"/>
      <w:bookmarkStart w:id="346" w:name="_Toc184314425"/>
      <w:bookmarkEnd w:id="346"/>
      <w:bookmarkStart w:id="347" w:name="_Toc184312070"/>
      <w:bookmarkEnd w:id="347"/>
      <w:bookmarkStart w:id="348" w:name="_Toc184308052"/>
      <w:bookmarkEnd w:id="348"/>
      <w:bookmarkStart w:id="349" w:name="_Toc184314474"/>
      <w:bookmarkEnd w:id="349"/>
      <w:bookmarkStart w:id="350" w:name="_Toc184313254"/>
      <w:bookmarkEnd w:id="350"/>
      <w:bookmarkStart w:id="351" w:name="_Toc184310337"/>
      <w:bookmarkEnd w:id="351"/>
      <w:bookmarkStart w:id="352" w:name="_Toc184314475"/>
      <w:bookmarkEnd w:id="352"/>
      <w:bookmarkStart w:id="353" w:name="_Toc184308039"/>
      <w:bookmarkEnd w:id="353"/>
      <w:bookmarkStart w:id="354" w:name="_Toc184313278"/>
      <w:bookmarkEnd w:id="354"/>
      <w:bookmarkStart w:id="355" w:name="_Toc184312109"/>
      <w:bookmarkEnd w:id="355"/>
      <w:bookmarkStart w:id="356" w:name="_Toc184310310"/>
      <w:bookmarkEnd w:id="356"/>
      <w:bookmarkStart w:id="357" w:name="_Toc184312127"/>
      <w:bookmarkEnd w:id="357"/>
      <w:bookmarkStart w:id="358" w:name="_Toc184313250"/>
      <w:bookmarkEnd w:id="358"/>
      <w:bookmarkStart w:id="359" w:name="_Toc184313252"/>
      <w:bookmarkEnd w:id="359"/>
      <w:bookmarkStart w:id="360" w:name="_Toc184314473"/>
      <w:bookmarkEnd w:id="360"/>
      <w:bookmarkStart w:id="361" w:name="_Toc184310308"/>
      <w:bookmarkEnd w:id="361"/>
      <w:bookmarkStart w:id="362" w:name="_Toc184314421"/>
      <w:bookmarkEnd w:id="362"/>
      <w:bookmarkStart w:id="363" w:name="_Toc184308093"/>
      <w:bookmarkEnd w:id="363"/>
      <w:bookmarkStart w:id="364" w:name="_Toc184313242"/>
      <w:bookmarkEnd w:id="364"/>
      <w:bookmarkStart w:id="365" w:name="_Toc184312123"/>
      <w:bookmarkEnd w:id="365"/>
      <w:bookmarkStart w:id="366" w:name="_Toc184314441"/>
      <w:bookmarkEnd w:id="366"/>
      <w:bookmarkStart w:id="367" w:name="_Toc184310329"/>
      <w:bookmarkEnd w:id="367"/>
      <w:bookmarkStart w:id="368" w:name="_Toc184312067"/>
      <w:bookmarkEnd w:id="368"/>
      <w:bookmarkStart w:id="369" w:name="_Toc184312124"/>
      <w:bookmarkEnd w:id="369"/>
      <w:bookmarkStart w:id="370" w:name="_Toc184308040"/>
      <w:bookmarkEnd w:id="370"/>
      <w:bookmarkStart w:id="371" w:name="_Toc184308103"/>
      <w:bookmarkEnd w:id="371"/>
      <w:bookmarkStart w:id="372" w:name="_Toc184312072"/>
      <w:bookmarkEnd w:id="372"/>
      <w:bookmarkStart w:id="373" w:name="_Toc184313253"/>
      <w:bookmarkEnd w:id="373"/>
      <w:bookmarkStart w:id="374" w:name="_Toc184312115"/>
      <w:bookmarkEnd w:id="374"/>
      <w:bookmarkStart w:id="375" w:name="_Toc184310333"/>
      <w:bookmarkEnd w:id="375"/>
      <w:bookmarkStart w:id="376" w:name="_Toc184313291"/>
      <w:bookmarkEnd w:id="376"/>
      <w:bookmarkStart w:id="377" w:name="_Toc184314415"/>
      <w:bookmarkEnd w:id="377"/>
      <w:bookmarkStart w:id="378" w:name="_Toc184313246"/>
      <w:bookmarkEnd w:id="378"/>
      <w:bookmarkStart w:id="379" w:name="_Toc184310330"/>
      <w:bookmarkEnd w:id="379"/>
      <w:bookmarkStart w:id="380" w:name="_Toc184314458"/>
      <w:bookmarkEnd w:id="380"/>
      <w:bookmarkStart w:id="381" w:name="_Toc184308102"/>
      <w:bookmarkEnd w:id="381"/>
      <w:bookmarkStart w:id="382" w:name="_Toc184312112"/>
      <w:bookmarkEnd w:id="382"/>
      <w:bookmarkStart w:id="383" w:name="_Toc184310323"/>
      <w:bookmarkEnd w:id="383"/>
      <w:bookmarkStart w:id="384" w:name="_Toc184314481"/>
      <w:bookmarkEnd w:id="384"/>
      <w:bookmarkStart w:id="385" w:name="_Toc184312077"/>
      <w:bookmarkEnd w:id="385"/>
      <w:bookmarkStart w:id="386" w:name="_Toc184312116"/>
      <w:bookmarkEnd w:id="386"/>
      <w:bookmarkStart w:id="387" w:name="_Toc184313279"/>
      <w:bookmarkEnd w:id="387"/>
      <w:bookmarkStart w:id="388" w:name="_Toc184313258"/>
      <w:bookmarkEnd w:id="388"/>
      <w:bookmarkStart w:id="389" w:name="_Toc184308073"/>
      <w:bookmarkEnd w:id="389"/>
      <w:bookmarkStart w:id="390" w:name="_Toc184313295"/>
      <w:bookmarkEnd w:id="390"/>
      <w:bookmarkStart w:id="391" w:name="_Toc184313298"/>
      <w:bookmarkEnd w:id="391"/>
      <w:bookmarkStart w:id="392" w:name="_Toc184313294"/>
      <w:bookmarkEnd w:id="392"/>
      <w:bookmarkStart w:id="393" w:name="_Toc184310335"/>
      <w:bookmarkEnd w:id="393"/>
      <w:bookmarkStart w:id="394" w:name="_Toc184310326"/>
      <w:bookmarkEnd w:id="394"/>
      <w:bookmarkStart w:id="395" w:name="_Toc184313300"/>
      <w:bookmarkEnd w:id="395"/>
      <w:bookmarkStart w:id="396" w:name="_Toc184314419"/>
      <w:bookmarkEnd w:id="396"/>
      <w:bookmarkStart w:id="397" w:name="_Toc184313310"/>
      <w:bookmarkEnd w:id="397"/>
      <w:bookmarkStart w:id="398" w:name="_Toc184312083"/>
      <w:bookmarkEnd w:id="398"/>
      <w:bookmarkStart w:id="399" w:name="_Toc184310327"/>
      <w:bookmarkEnd w:id="399"/>
      <w:bookmarkStart w:id="400" w:name="_Toc184308097"/>
      <w:bookmarkEnd w:id="400"/>
      <w:bookmarkStart w:id="401" w:name="_Toc184314432"/>
      <w:bookmarkEnd w:id="401"/>
      <w:bookmarkStart w:id="402" w:name="_Toc184312096"/>
      <w:bookmarkEnd w:id="402"/>
      <w:bookmarkStart w:id="403" w:name="_Toc184308099"/>
      <w:bookmarkEnd w:id="403"/>
      <w:bookmarkStart w:id="404" w:name="_Toc184308079"/>
      <w:bookmarkEnd w:id="404"/>
      <w:bookmarkStart w:id="405" w:name="_Toc184314479"/>
      <w:bookmarkEnd w:id="405"/>
      <w:bookmarkStart w:id="406" w:name="_Toc184308038"/>
      <w:bookmarkEnd w:id="406"/>
      <w:bookmarkStart w:id="407" w:name="_Toc184314452"/>
      <w:bookmarkEnd w:id="407"/>
      <w:bookmarkStart w:id="408" w:name="_Toc184308078"/>
      <w:bookmarkEnd w:id="408"/>
      <w:bookmarkStart w:id="409" w:name="_Toc184313285"/>
      <w:bookmarkEnd w:id="409"/>
      <w:bookmarkStart w:id="410" w:name="_Toc184314440"/>
      <w:bookmarkEnd w:id="410"/>
      <w:bookmarkStart w:id="411" w:name="_Toc184310287"/>
      <w:bookmarkEnd w:id="411"/>
      <w:bookmarkStart w:id="412" w:name="_Toc184308091"/>
      <w:bookmarkEnd w:id="412"/>
      <w:bookmarkStart w:id="413" w:name="_Toc184312084"/>
      <w:bookmarkEnd w:id="413"/>
      <w:bookmarkStart w:id="414" w:name="_Toc184312125"/>
      <w:bookmarkEnd w:id="414"/>
      <w:bookmarkStart w:id="415" w:name="_Toc184313240"/>
      <w:bookmarkEnd w:id="415"/>
      <w:bookmarkStart w:id="416" w:name="_Toc184310317"/>
      <w:bookmarkEnd w:id="416"/>
      <w:bookmarkStart w:id="417" w:name="_Toc184310290"/>
      <w:bookmarkEnd w:id="417"/>
      <w:bookmarkStart w:id="418" w:name="_Toc184313288"/>
      <w:bookmarkEnd w:id="418"/>
      <w:bookmarkStart w:id="419" w:name="_Toc184312120"/>
      <w:bookmarkEnd w:id="419"/>
      <w:bookmarkStart w:id="420" w:name="_Toc184310275"/>
      <w:bookmarkEnd w:id="420"/>
      <w:bookmarkStart w:id="421" w:name="_Toc184314453"/>
      <w:bookmarkEnd w:id="421"/>
      <w:bookmarkStart w:id="422" w:name="_Toc184310304"/>
      <w:bookmarkEnd w:id="422"/>
      <w:bookmarkStart w:id="423" w:name="_Toc184314455"/>
      <w:bookmarkEnd w:id="423"/>
      <w:bookmarkStart w:id="424" w:name="_Toc184313299"/>
      <w:bookmarkEnd w:id="424"/>
      <w:bookmarkStart w:id="425" w:name="_Toc184314457"/>
      <w:bookmarkEnd w:id="425"/>
      <w:bookmarkStart w:id="426" w:name="_Toc184312113"/>
      <w:bookmarkEnd w:id="426"/>
      <w:r>
        <w:rPr>
          <w:rFonts w:hint="eastAsia" w:cs="仿宋"/>
          <w:color w:val="auto"/>
        </w:rPr>
        <w:t>评审办法</w:t>
      </w:r>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评标办法前附表</w:t>
      </w:r>
    </w:p>
    <w:tbl>
      <w:tblPr>
        <w:tblStyle w:val="61"/>
        <w:tblW w:w="4853" w:type="pct"/>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3" w:hRule="atLeast"/>
        </w:trPr>
        <w:tc>
          <w:tcPr>
            <w:tcW w:w="5000" w:type="pct"/>
            <w:vAlign w:val="center"/>
          </w:tcPr>
          <w:p>
            <w:pPr>
              <w:autoSpaceDE w:val="0"/>
              <w:autoSpaceDN w:val="0"/>
              <w:spacing w:line="360" w:lineRule="auto"/>
              <w:ind w:firstLine="482" w:firstLineChars="200"/>
              <w:rPr>
                <w:rFonts w:ascii="仿宋" w:hAnsi="仿宋" w:eastAsia="仿宋" w:cs="仿宋"/>
                <w:sz w:val="24"/>
              </w:rPr>
            </w:pPr>
            <w:r>
              <w:rPr>
                <w:rFonts w:hint="eastAsia" w:ascii="仿宋" w:hAnsi="仿宋" w:eastAsia="仿宋" w:cs="仿宋"/>
                <w:b/>
                <w:sz w:val="24"/>
              </w:rPr>
              <w:t>本项目采用综合评分法</w:t>
            </w:r>
            <w:r>
              <w:rPr>
                <w:rFonts w:hint="eastAsia" w:ascii="仿宋" w:hAnsi="仿宋" w:eastAsia="仿宋" w:cs="仿宋"/>
                <w:sz w:val="24"/>
              </w:rPr>
              <w:t>：</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评标委员会将对各供应商的投标报价、供应商提供的资信与商务部分、技术部分等方面进行综合评审，评标委员会各成员应当独立对每个有效供应商的投标文件进行评价、打分。经统计，得出各供应商的最终评审分,按最终评审分由高到低顺序排列。得分相同的，按投标报价由低到高顺序排列，</w:t>
            </w:r>
            <w:r>
              <w:rPr>
                <w:rFonts w:hint="eastAsia" w:ascii="仿宋" w:hAnsi="仿宋" w:eastAsia="仿宋" w:cs="仿宋"/>
                <w:sz w:val="24"/>
                <w:szCs w:val="21"/>
              </w:rPr>
              <w:t>得分且投标报价相同的并列</w:t>
            </w:r>
            <w:r>
              <w:rPr>
                <w:rFonts w:hint="eastAsia" w:ascii="仿宋" w:hAnsi="仿宋" w:eastAsia="仿宋" w:cs="仿宋"/>
                <w:sz w:val="24"/>
              </w:rPr>
              <w:t>，并形成评标意见。</w:t>
            </w:r>
          </w:p>
          <w:p>
            <w:pPr>
              <w:spacing w:line="360" w:lineRule="auto"/>
              <w:ind w:left="105" w:leftChars="50" w:firstLine="427" w:firstLineChars="178"/>
              <w:rPr>
                <w:rFonts w:ascii="仿宋" w:hAnsi="仿宋" w:eastAsia="仿宋" w:cs="仿宋"/>
                <w:sz w:val="24"/>
              </w:rPr>
            </w:pPr>
            <w:r>
              <w:rPr>
                <w:rFonts w:hint="eastAsia" w:ascii="仿宋" w:hAnsi="仿宋" w:eastAsia="仿宋" w:cs="仿宋"/>
                <w:sz w:val="24"/>
              </w:rPr>
              <w:t>各供应商的综合得分为：商务资信</w:t>
            </w:r>
            <w:r>
              <w:rPr>
                <w:rFonts w:hint="eastAsia" w:ascii="仿宋" w:hAnsi="仿宋" w:eastAsia="仿宋" w:cs="仿宋"/>
                <w:bCs/>
                <w:sz w:val="24"/>
              </w:rPr>
              <w:t>部分</w:t>
            </w:r>
            <w:r>
              <w:rPr>
                <w:rFonts w:hint="eastAsia" w:ascii="仿宋" w:hAnsi="仿宋" w:eastAsia="仿宋" w:cs="仿宋"/>
                <w:sz w:val="24"/>
              </w:rPr>
              <w:t>得分+技术得分，总和为</w:t>
            </w:r>
            <w:r>
              <w:rPr>
                <w:rFonts w:hint="eastAsia" w:ascii="仿宋" w:hAnsi="仿宋" w:eastAsia="仿宋" w:cs="仿宋"/>
                <w:sz w:val="24"/>
                <w:u w:val="single"/>
              </w:rPr>
              <w:t>100</w:t>
            </w:r>
            <w:r>
              <w:rPr>
                <w:rFonts w:hint="eastAsia" w:ascii="仿宋" w:hAnsi="仿宋" w:eastAsia="仿宋" w:cs="仿宋"/>
                <w:sz w:val="24"/>
              </w:rPr>
              <w:t>分。</w:t>
            </w:r>
          </w:p>
          <w:p>
            <w:pPr>
              <w:pStyle w:val="4"/>
              <w:jc w:val="both"/>
              <w:rPr>
                <w:rFonts w:cs="仿宋"/>
                <w:color w:val="auto"/>
                <w:sz w:val="24"/>
              </w:rPr>
            </w:pPr>
            <w:r>
              <w:rPr>
                <w:rFonts w:hint="eastAsia" w:cs="仿宋"/>
                <w:color w:val="auto"/>
                <w:sz w:val="24"/>
              </w:rPr>
              <w:t xml:space="preserve">    综合得分排名前五名的响应人为成交候选人。</w:t>
            </w:r>
          </w:p>
          <w:p>
            <w:pPr>
              <w:pStyle w:val="4"/>
              <w:ind w:firstLine="482" w:firstLineChars="200"/>
              <w:jc w:val="both"/>
              <w:rPr>
                <w:color w:val="auto"/>
              </w:rPr>
            </w:pPr>
            <w:r>
              <w:rPr>
                <w:rFonts w:hint="eastAsia" w:cs="仿宋"/>
                <w:color w:val="auto"/>
                <w:sz w:val="24"/>
              </w:rPr>
              <w:t>评分过程中采用四舍五入法，并保留小数2位。</w:t>
            </w:r>
          </w:p>
          <w:p>
            <w:pPr>
              <w:autoSpaceDE w:val="0"/>
              <w:autoSpaceDN w:val="0"/>
              <w:spacing w:line="360" w:lineRule="auto"/>
              <w:ind w:firstLine="482" w:firstLineChars="200"/>
              <w:rPr>
                <w:rFonts w:ascii="仿宋" w:hAnsi="仿宋" w:eastAsia="仿宋" w:cs="仿宋"/>
                <w:b/>
                <w:sz w:val="24"/>
              </w:rPr>
            </w:pPr>
            <w:r>
              <w:rPr>
                <w:rFonts w:hint="eastAsia" w:ascii="仿宋" w:hAnsi="仿宋" w:eastAsia="仿宋" w:cs="仿宋"/>
                <w:b/>
                <w:sz w:val="24"/>
              </w:rPr>
              <w:t>各供应商的技术和服务方案、供应商资信与商务部分得分为：评标委员会各成员评分的算术平均值。</w:t>
            </w:r>
            <w:r>
              <w:rPr>
                <w:rFonts w:hint="eastAsia" w:ascii="仿宋" w:hAnsi="仿宋" w:eastAsia="仿宋" w:cs="仿宋"/>
                <w:sz w:val="24"/>
              </w:rPr>
              <w:t>根据上述评标原则，分值安排如下：</w:t>
            </w:r>
          </w:p>
        </w:tc>
      </w:tr>
    </w:tbl>
    <w:p>
      <w:pPr>
        <w:widowControl/>
        <w:spacing w:line="360" w:lineRule="auto"/>
        <w:rPr>
          <w:rFonts w:ascii="仿宋" w:hAnsi="仿宋" w:eastAsia="仿宋" w:cs="仿宋"/>
          <w:b/>
          <w:sz w:val="32"/>
        </w:rPr>
      </w:pPr>
    </w:p>
    <w:p>
      <w:pPr>
        <w:widowControl/>
        <w:adjustRightInd/>
        <w:jc w:val="left"/>
        <w:rPr>
          <w:rFonts w:ascii="仿宋" w:hAnsi="仿宋" w:eastAsia="仿宋" w:cs="仿宋"/>
          <w:b/>
          <w:sz w:val="32"/>
        </w:rPr>
      </w:pPr>
      <w:r>
        <w:rPr>
          <w:rFonts w:hint="eastAsia" w:ascii="仿宋" w:hAnsi="仿宋" w:eastAsia="仿宋" w:cs="仿宋"/>
          <w:b/>
          <w:sz w:val="32"/>
        </w:rPr>
        <w:br w:type="page"/>
      </w:r>
    </w:p>
    <w:p>
      <w:pPr>
        <w:widowControl/>
        <w:jc w:val="left"/>
        <w:rPr>
          <w:rFonts w:ascii="仿宋" w:hAnsi="仿宋" w:eastAsia="仿宋" w:cs="仿宋"/>
          <w:b/>
          <w:bCs/>
          <w:sz w:val="24"/>
        </w:rPr>
      </w:pPr>
      <w:r>
        <w:rPr>
          <w:rFonts w:hint="eastAsia" w:ascii="仿宋" w:hAnsi="仿宋" w:eastAsia="仿宋" w:cs="仿宋"/>
          <w:b/>
          <w:bCs/>
          <w:sz w:val="24"/>
        </w:rPr>
        <w:t>一、商务资信（15分）</w:t>
      </w:r>
    </w:p>
    <w:tbl>
      <w:tblPr>
        <w:tblStyle w:val="61"/>
        <w:tblW w:w="9619" w:type="dxa"/>
        <w:tblInd w:w="-14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902"/>
        <w:gridCol w:w="567"/>
        <w:gridCol w:w="6102"/>
        <w:gridCol w:w="964"/>
        <w:gridCol w:w="10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38" w:hRule="atLeast"/>
        </w:trPr>
        <w:tc>
          <w:tcPr>
            <w:tcW w:w="902" w:type="dxa"/>
            <w:tcBorders>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序号</w:t>
            </w:r>
          </w:p>
        </w:tc>
        <w:tc>
          <w:tcPr>
            <w:tcW w:w="6669" w:type="dxa"/>
            <w:gridSpan w:val="2"/>
            <w:tcBorders>
              <w:left w:val="nil"/>
              <w:bottom w:val="single" w:color="auto" w:sz="4" w:space="0"/>
              <w:right w:val="single" w:color="auto" w:sz="4" w:space="0"/>
            </w:tcBorders>
            <w:shd w:val="clear" w:color="FFFFFF"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评分内容和标准</w:t>
            </w:r>
          </w:p>
        </w:tc>
        <w:tc>
          <w:tcPr>
            <w:tcW w:w="964" w:type="dxa"/>
            <w:tcBorders>
              <w:left w:val="nil"/>
              <w:bottom w:val="single" w:color="auto" w:sz="4" w:space="0"/>
              <w:right w:val="single" w:color="auto" w:sz="4" w:space="0"/>
            </w:tcBorders>
            <w:shd w:val="clear" w:color="FFFFFF" w:fill="auto"/>
            <w:vAlign w:val="center"/>
          </w:tcPr>
          <w:p>
            <w:pPr>
              <w:widowControl/>
              <w:jc w:val="center"/>
              <w:rPr>
                <w:rFonts w:ascii="仿宋" w:hAnsi="仿宋" w:eastAsia="仿宋" w:cs="仿宋"/>
                <w:kern w:val="0"/>
                <w:sz w:val="24"/>
              </w:rPr>
            </w:pPr>
            <w:r>
              <w:rPr>
                <w:rFonts w:ascii="仿宋" w:hAnsi="仿宋" w:eastAsia="仿宋" w:cs="仿宋"/>
                <w:kern w:val="0"/>
                <w:sz w:val="24"/>
              </w:rPr>
              <w:t>分值区间</w:t>
            </w:r>
          </w:p>
        </w:tc>
        <w:tc>
          <w:tcPr>
            <w:tcW w:w="1084" w:type="dxa"/>
            <w:tcBorders>
              <w:left w:val="nil"/>
              <w:bottom w:val="single" w:color="auto" w:sz="4" w:space="0"/>
            </w:tcBorders>
            <w:shd w:val="clear" w:color="FFFFFF"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主客观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72" w:hRule="atLeast"/>
        </w:trPr>
        <w:tc>
          <w:tcPr>
            <w:tcW w:w="902" w:type="dxa"/>
            <w:vMerge w:val="restart"/>
            <w:tcBorders>
              <w:top w:val="single" w:color="auto" w:sz="4" w:space="0"/>
              <w:right w:val="single" w:color="auto" w:sz="4" w:space="0"/>
            </w:tcBorders>
            <w:shd w:val="clear" w:color="auto" w:fill="auto"/>
            <w:vAlign w:val="center"/>
          </w:tcPr>
          <w:p>
            <w:pPr>
              <w:pStyle w:val="24"/>
              <w:snapToGrid w:val="0"/>
              <w:spacing w:line="360" w:lineRule="auto"/>
              <w:ind w:firstLine="0" w:firstLineChars="0"/>
              <w:rPr>
                <w:rFonts w:ascii="仿宋" w:hAnsi="仿宋" w:eastAsia="仿宋" w:cs="仿宋"/>
                <w:kern w:val="0"/>
              </w:rPr>
            </w:pPr>
            <w:r>
              <w:rPr>
                <w:rFonts w:hint="eastAsia" w:ascii="仿宋" w:hAnsi="仿宋" w:eastAsia="仿宋" w:cs="仿宋"/>
              </w:rPr>
              <w:t>商务资信（15分）</w:t>
            </w:r>
          </w:p>
        </w:tc>
        <w:tc>
          <w:tcPr>
            <w:tcW w:w="567" w:type="dxa"/>
            <w:tcBorders>
              <w:top w:val="single" w:color="auto" w:sz="4" w:space="0"/>
              <w:left w:val="single" w:color="auto" w:sz="4" w:space="0"/>
              <w:bottom w:val="single" w:color="auto" w:sz="4" w:space="0"/>
              <w:right w:val="single" w:color="auto" w:sz="4" w:space="0"/>
            </w:tcBorders>
            <w:shd w:val="clear" w:color="FFFFFF" w:fill="auto"/>
            <w:vAlign w:val="center"/>
          </w:tcPr>
          <w:p>
            <w:pPr>
              <w:pStyle w:val="24"/>
              <w:snapToGrid w:val="0"/>
              <w:spacing w:line="360" w:lineRule="auto"/>
              <w:ind w:firstLine="0" w:firstLineChars="0"/>
              <w:jc w:val="center"/>
              <w:rPr>
                <w:rFonts w:ascii="仿宋" w:hAnsi="仿宋" w:eastAsia="仿宋" w:cs="仿宋"/>
                <w:kern w:val="0"/>
              </w:rPr>
            </w:pPr>
            <w:r>
              <w:rPr>
                <w:rFonts w:hint="eastAsia" w:ascii="仿宋" w:hAnsi="仿宋" w:eastAsia="仿宋" w:cs="仿宋"/>
                <w:kern w:val="0"/>
              </w:rPr>
              <w:t>1</w:t>
            </w:r>
          </w:p>
        </w:tc>
        <w:tc>
          <w:tcPr>
            <w:tcW w:w="6102" w:type="dxa"/>
            <w:tcBorders>
              <w:top w:val="single" w:color="auto" w:sz="4" w:space="0"/>
              <w:left w:val="nil"/>
              <w:bottom w:val="single" w:color="auto" w:sz="4" w:space="0"/>
              <w:right w:val="single" w:color="auto" w:sz="4" w:space="0"/>
            </w:tcBorders>
            <w:shd w:val="clear" w:color="FFFFFF" w:fill="auto"/>
            <w:vAlign w:val="center"/>
          </w:tcPr>
          <w:p>
            <w:pPr>
              <w:rPr>
                <w:rFonts w:ascii="仿宋" w:hAnsi="仿宋" w:eastAsia="仿宋" w:cs="仿宋"/>
                <w:kern w:val="0"/>
              </w:rPr>
            </w:pPr>
            <w:r>
              <w:rPr>
                <w:rFonts w:hint="eastAsia" w:ascii="仿宋" w:hAnsi="仿宋" w:eastAsia="仿宋" w:cs="宋体"/>
                <w:kern w:val="0"/>
                <w:sz w:val="24"/>
              </w:rPr>
              <w:t>投标人具有质量管理体系认证证书、环境管理认证证书、职业健康安全管理体系认证证书的每个得1分，无则不得分（须在认证有效期内）。此项最高加3分。</w:t>
            </w:r>
          </w:p>
        </w:tc>
        <w:tc>
          <w:tcPr>
            <w:tcW w:w="964" w:type="dxa"/>
            <w:tcBorders>
              <w:top w:val="single" w:color="auto" w:sz="4" w:space="0"/>
              <w:left w:val="nil"/>
              <w:bottom w:val="single" w:color="auto" w:sz="4" w:space="0"/>
              <w:right w:val="single" w:color="auto" w:sz="4" w:space="0"/>
            </w:tcBorders>
            <w:shd w:val="clear" w:color="FFFFFF" w:fill="auto"/>
            <w:vAlign w:val="center"/>
          </w:tcPr>
          <w:p>
            <w:pPr>
              <w:pStyle w:val="24"/>
              <w:snapToGrid w:val="0"/>
              <w:spacing w:line="360" w:lineRule="auto"/>
              <w:ind w:firstLine="0" w:firstLineChars="0"/>
              <w:jc w:val="center"/>
              <w:rPr>
                <w:rFonts w:ascii="仿宋" w:hAnsi="仿宋" w:eastAsia="仿宋" w:cs="仿宋"/>
                <w:kern w:val="0"/>
              </w:rPr>
            </w:pPr>
            <w:r>
              <w:rPr>
                <w:rFonts w:hint="eastAsia" w:ascii="仿宋" w:hAnsi="仿宋" w:eastAsia="仿宋" w:cs="仿宋"/>
                <w:kern w:val="0"/>
              </w:rPr>
              <w:t>0-3分</w:t>
            </w:r>
          </w:p>
        </w:tc>
        <w:tc>
          <w:tcPr>
            <w:tcW w:w="1084" w:type="dxa"/>
            <w:tcBorders>
              <w:top w:val="single" w:color="auto" w:sz="4" w:space="0"/>
              <w:left w:val="nil"/>
              <w:bottom w:val="single" w:color="auto" w:sz="4" w:space="0"/>
            </w:tcBorders>
            <w:shd w:val="clear" w:color="FFFFFF" w:fill="auto"/>
            <w:vAlign w:val="center"/>
          </w:tcPr>
          <w:p>
            <w:pPr>
              <w:pStyle w:val="24"/>
              <w:snapToGrid w:val="0"/>
              <w:spacing w:line="360" w:lineRule="auto"/>
              <w:ind w:firstLine="0" w:firstLineChars="0"/>
              <w:jc w:val="center"/>
              <w:rPr>
                <w:rFonts w:ascii="仿宋" w:hAnsi="仿宋" w:eastAsia="仿宋" w:cs="仿宋"/>
                <w:kern w:val="0"/>
              </w:rPr>
            </w:pPr>
            <w:r>
              <w:rPr>
                <w:rFonts w:hint="eastAsia" w:ascii="仿宋" w:hAnsi="仿宋" w:eastAsia="仿宋" w:cs="仿宋"/>
                <w:kern w:val="0"/>
              </w:rPr>
              <w:t>客观分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573" w:hRule="atLeast"/>
        </w:trPr>
        <w:tc>
          <w:tcPr>
            <w:tcW w:w="902" w:type="dxa"/>
            <w:vMerge w:val="continue"/>
            <w:tcBorders>
              <w:right w:val="single" w:color="auto" w:sz="4" w:space="0"/>
            </w:tcBorders>
            <w:shd w:val="clear" w:color="auto" w:fill="auto"/>
            <w:vAlign w:val="center"/>
          </w:tcPr>
          <w:p>
            <w:pPr>
              <w:pStyle w:val="24"/>
              <w:snapToGrid w:val="0"/>
              <w:spacing w:line="360" w:lineRule="auto"/>
              <w:ind w:firstLine="0" w:firstLineChars="0"/>
              <w:rPr>
                <w:rFonts w:ascii="仿宋" w:hAnsi="仿宋" w:eastAsia="仿宋" w:cs="仿宋"/>
              </w:rPr>
            </w:pPr>
          </w:p>
        </w:tc>
        <w:tc>
          <w:tcPr>
            <w:tcW w:w="567" w:type="dxa"/>
            <w:tcBorders>
              <w:top w:val="single" w:color="auto" w:sz="4" w:space="0"/>
              <w:left w:val="single" w:color="auto" w:sz="4" w:space="0"/>
              <w:bottom w:val="single" w:color="auto" w:sz="4" w:space="0"/>
              <w:right w:val="single" w:color="auto" w:sz="4" w:space="0"/>
            </w:tcBorders>
            <w:shd w:val="clear" w:color="FFFFFF" w:fill="auto"/>
            <w:vAlign w:val="center"/>
          </w:tcPr>
          <w:p>
            <w:pPr>
              <w:pStyle w:val="24"/>
              <w:snapToGrid w:val="0"/>
              <w:spacing w:line="360" w:lineRule="auto"/>
              <w:ind w:firstLine="0" w:firstLineChars="0"/>
              <w:jc w:val="center"/>
              <w:rPr>
                <w:rFonts w:ascii="仿宋" w:hAnsi="仿宋" w:eastAsia="仿宋" w:cs="仿宋"/>
                <w:strike/>
                <w:kern w:val="0"/>
              </w:rPr>
            </w:pPr>
            <w:r>
              <w:rPr>
                <w:rFonts w:hint="eastAsia" w:ascii="仿宋" w:hAnsi="仿宋" w:eastAsia="仿宋" w:cs="仿宋"/>
                <w:kern w:val="0"/>
              </w:rPr>
              <w:t>2</w:t>
            </w:r>
          </w:p>
        </w:tc>
        <w:tc>
          <w:tcPr>
            <w:tcW w:w="6102" w:type="dxa"/>
            <w:tcBorders>
              <w:top w:val="single" w:color="auto" w:sz="4" w:space="0"/>
              <w:left w:val="single" w:color="auto" w:sz="4" w:space="0"/>
              <w:bottom w:val="single" w:color="auto" w:sz="4" w:space="0"/>
              <w:right w:val="single" w:color="auto" w:sz="4" w:space="0"/>
            </w:tcBorders>
            <w:shd w:val="clear" w:color="FFFFFF" w:fill="auto"/>
            <w:vAlign w:val="center"/>
          </w:tcPr>
          <w:p>
            <w:pPr>
              <w:rPr>
                <w:rFonts w:ascii="仿宋" w:hAnsi="仿宋" w:eastAsia="仿宋" w:cs="仿宋"/>
                <w:strike/>
                <w:kern w:val="0"/>
              </w:rPr>
            </w:pPr>
            <w:r>
              <w:rPr>
                <w:rFonts w:hint="eastAsia" w:ascii="仿宋" w:hAnsi="仿宋" w:eastAsia="仿宋" w:cs="宋体"/>
                <w:kern w:val="0"/>
                <w:sz w:val="24"/>
              </w:rPr>
              <w:t>投标人星级评分：被评为五星级及以上品质旅行社的得5分，被评为四星级品质旅行社的得4分，被评为三星级品质旅行社的得3分，二星级以下不得分。（投标文件中须提供当地旅游局等单位颁发的相关文件，加盖公章，否则不得分）</w:t>
            </w:r>
          </w:p>
        </w:tc>
        <w:tc>
          <w:tcPr>
            <w:tcW w:w="964" w:type="dxa"/>
            <w:tcBorders>
              <w:top w:val="single" w:color="auto" w:sz="4" w:space="0"/>
              <w:left w:val="single" w:color="auto" w:sz="4" w:space="0"/>
              <w:bottom w:val="single" w:color="auto" w:sz="4" w:space="0"/>
              <w:right w:val="single" w:color="auto" w:sz="4" w:space="0"/>
            </w:tcBorders>
            <w:shd w:val="clear" w:color="FFFFFF" w:fill="auto"/>
            <w:vAlign w:val="center"/>
          </w:tcPr>
          <w:p>
            <w:pPr>
              <w:jc w:val="center"/>
              <w:rPr>
                <w:rFonts w:ascii="仿宋" w:hAnsi="仿宋" w:eastAsia="仿宋" w:cs="仿宋"/>
                <w:strike/>
                <w:kern w:val="0"/>
              </w:rPr>
            </w:pPr>
            <w:r>
              <w:rPr>
                <w:rFonts w:hint="eastAsia" w:ascii="仿宋" w:hAnsi="仿宋" w:eastAsia="仿宋" w:cs="宋体"/>
                <w:kern w:val="0"/>
                <w:sz w:val="24"/>
              </w:rPr>
              <w:t>0-5分</w:t>
            </w:r>
          </w:p>
        </w:tc>
        <w:tc>
          <w:tcPr>
            <w:tcW w:w="1084" w:type="dxa"/>
            <w:tcBorders>
              <w:top w:val="single" w:color="auto" w:sz="4" w:space="0"/>
              <w:left w:val="single" w:color="auto" w:sz="4" w:space="0"/>
              <w:bottom w:val="single" w:color="auto" w:sz="4" w:space="0"/>
            </w:tcBorders>
            <w:shd w:val="clear" w:color="FFFFFF" w:fill="auto"/>
            <w:vAlign w:val="center"/>
          </w:tcPr>
          <w:p>
            <w:pPr>
              <w:pStyle w:val="24"/>
              <w:snapToGrid w:val="0"/>
              <w:spacing w:line="360" w:lineRule="auto"/>
              <w:ind w:firstLine="0" w:firstLineChars="0"/>
              <w:jc w:val="center"/>
              <w:rPr>
                <w:rFonts w:ascii="仿宋" w:hAnsi="仿宋" w:eastAsia="仿宋" w:cs="仿宋"/>
                <w:strike/>
                <w:kern w:val="0"/>
              </w:rPr>
            </w:pPr>
            <w:r>
              <w:rPr>
                <w:rFonts w:hint="eastAsia" w:ascii="仿宋" w:hAnsi="仿宋" w:eastAsia="仿宋" w:cs="仿宋"/>
                <w:kern w:val="0"/>
              </w:rPr>
              <w:t>客观分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1" w:hRule="atLeast"/>
        </w:trPr>
        <w:tc>
          <w:tcPr>
            <w:tcW w:w="902" w:type="dxa"/>
            <w:vMerge w:val="continue"/>
            <w:tcBorders>
              <w:right w:val="single" w:color="auto" w:sz="4" w:space="0"/>
            </w:tcBorders>
            <w:shd w:val="clear" w:color="auto" w:fill="auto"/>
            <w:vAlign w:val="center"/>
          </w:tcPr>
          <w:p>
            <w:pPr>
              <w:pStyle w:val="24"/>
              <w:snapToGrid w:val="0"/>
              <w:spacing w:line="360" w:lineRule="auto"/>
              <w:ind w:firstLine="0" w:firstLineChars="0"/>
              <w:rPr>
                <w:rFonts w:ascii="仿宋" w:hAnsi="仿宋" w:eastAsia="仿宋" w:cs="仿宋"/>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0" w:firstLineChars="0"/>
              <w:jc w:val="center"/>
              <w:rPr>
                <w:rFonts w:ascii="仿宋" w:hAnsi="仿宋" w:eastAsia="仿宋" w:cs="仿宋"/>
                <w:kern w:val="0"/>
              </w:rPr>
            </w:pPr>
            <w:r>
              <w:rPr>
                <w:rFonts w:hint="eastAsia" w:ascii="仿宋" w:hAnsi="仿宋" w:eastAsia="仿宋" w:cs="仿宋"/>
                <w:kern w:val="0"/>
              </w:rPr>
              <w:t>3</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rPr>
            </w:pPr>
            <w:r>
              <w:rPr>
                <w:rFonts w:hint="eastAsia" w:ascii="仿宋" w:hAnsi="仿宋" w:eastAsia="仿宋" w:cs="宋体"/>
                <w:kern w:val="0"/>
                <w:sz w:val="24"/>
              </w:rPr>
              <w:t>投标人近3年（2019年1月1日至今）以来从事政府机关或事业单位疗休养项目的业绩证明，每一个得0.5分，最高不超过1分。（提供合同业绩复印件加盖公章，否则不得分）</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rPr>
            </w:pPr>
            <w:r>
              <w:rPr>
                <w:rFonts w:hint="eastAsia" w:ascii="仿宋" w:hAnsi="仿宋" w:eastAsia="仿宋" w:cs="宋体"/>
                <w:kern w:val="0"/>
                <w:sz w:val="24"/>
              </w:rPr>
              <w:t>0-1分</w:t>
            </w:r>
          </w:p>
        </w:tc>
        <w:tc>
          <w:tcPr>
            <w:tcW w:w="1084" w:type="dxa"/>
            <w:tcBorders>
              <w:top w:val="single" w:color="auto" w:sz="4" w:space="0"/>
              <w:left w:val="single" w:color="auto" w:sz="4" w:space="0"/>
              <w:bottom w:val="single" w:color="auto" w:sz="4" w:space="0"/>
            </w:tcBorders>
            <w:vAlign w:val="center"/>
          </w:tcPr>
          <w:p>
            <w:pPr>
              <w:pStyle w:val="24"/>
              <w:snapToGrid w:val="0"/>
              <w:spacing w:line="360" w:lineRule="auto"/>
              <w:ind w:firstLine="0" w:firstLineChars="0"/>
              <w:jc w:val="center"/>
              <w:rPr>
                <w:rFonts w:ascii="仿宋" w:hAnsi="仿宋" w:eastAsia="仿宋" w:cs="仿宋"/>
                <w:kern w:val="0"/>
              </w:rPr>
            </w:pPr>
            <w:r>
              <w:rPr>
                <w:rFonts w:hint="eastAsia" w:ascii="仿宋" w:hAnsi="仿宋" w:eastAsia="仿宋" w:cs="仿宋"/>
                <w:kern w:val="0"/>
              </w:rPr>
              <w:t>客观分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522" w:hRule="atLeast"/>
        </w:trPr>
        <w:tc>
          <w:tcPr>
            <w:tcW w:w="902" w:type="dxa"/>
            <w:vMerge w:val="continue"/>
            <w:tcBorders>
              <w:right w:val="single" w:color="auto" w:sz="4" w:space="0"/>
            </w:tcBorders>
            <w:vAlign w:val="center"/>
          </w:tcPr>
          <w:p>
            <w:pPr>
              <w:pStyle w:val="24"/>
              <w:snapToGrid w:val="0"/>
              <w:spacing w:line="360" w:lineRule="auto"/>
              <w:ind w:firstLine="0" w:firstLineChars="0"/>
              <w:rPr>
                <w:rFonts w:ascii="仿宋" w:hAnsi="仿宋" w:eastAsia="仿宋" w:cs="仿宋"/>
                <w:kern w:val="0"/>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0" w:firstLineChars="0"/>
              <w:jc w:val="center"/>
              <w:rPr>
                <w:rFonts w:ascii="仿宋" w:hAnsi="仿宋" w:eastAsia="仿宋" w:cs="仿宋"/>
                <w:kern w:val="0"/>
              </w:rPr>
            </w:pPr>
            <w:r>
              <w:rPr>
                <w:rFonts w:hint="eastAsia" w:ascii="仿宋" w:hAnsi="仿宋" w:eastAsia="仿宋" w:cs="仿宋"/>
                <w:kern w:val="0"/>
              </w:rPr>
              <w:t>4</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ascii="仿宋" w:hAnsi="仿宋" w:eastAsia="仿宋" w:cs="仿宋"/>
                <w:kern w:val="0"/>
                <w:sz w:val="24"/>
              </w:rPr>
              <w:t>投标人自2019年1月1日起，获得行政部门颁发的</w:t>
            </w:r>
            <w:r>
              <w:rPr>
                <w:rFonts w:hint="eastAsia" w:ascii="仿宋" w:hAnsi="仿宋" w:eastAsia="仿宋" w:cs="仿宋"/>
                <w:kern w:val="0"/>
                <w:sz w:val="24"/>
              </w:rPr>
              <w:t>行业</w:t>
            </w:r>
            <w:r>
              <w:rPr>
                <w:rFonts w:ascii="仿宋" w:hAnsi="仿宋" w:eastAsia="仿宋" w:cs="仿宋"/>
                <w:kern w:val="0"/>
                <w:sz w:val="24"/>
              </w:rPr>
              <w:t>荣誉：区（县）级荣誉的，每个得0.5分，最多得1分；市级及以上荣誉的，每个得1.5分，最多得3分；</w:t>
            </w:r>
          </w:p>
          <w:p>
            <w:pPr>
              <w:rPr>
                <w:rFonts w:ascii="仿宋" w:hAnsi="仿宋" w:eastAsia="仿宋" w:cs="仿宋"/>
                <w:kern w:val="0"/>
                <w:sz w:val="24"/>
              </w:rPr>
            </w:pPr>
            <w:r>
              <w:rPr>
                <w:rFonts w:ascii="仿宋" w:hAnsi="仿宋" w:eastAsia="仿宋" w:cs="仿宋"/>
                <w:kern w:val="0"/>
                <w:sz w:val="24"/>
              </w:rPr>
              <w:t>投标人自2019年1月1日起，获得行业协会颁发的荣誉：区（县）级荣誉的，每个得0.25分，最多得1分；市级及以上荣誉的，每个得0.5分，最多得1分。</w:t>
            </w:r>
          </w:p>
          <w:p>
            <w:pPr>
              <w:rPr>
                <w:rFonts w:ascii="仿宋" w:hAnsi="仿宋" w:eastAsia="仿宋" w:cs="宋体"/>
                <w:kern w:val="0"/>
                <w:sz w:val="24"/>
              </w:rPr>
            </w:pPr>
            <w:r>
              <w:rPr>
                <w:rFonts w:ascii="仿宋" w:hAnsi="仿宋" w:eastAsia="仿宋" w:cs="仿宋"/>
                <w:kern w:val="0"/>
                <w:sz w:val="24"/>
              </w:rPr>
              <w:t>（投标文件中</w:t>
            </w:r>
            <w:r>
              <w:rPr>
                <w:rFonts w:hint="eastAsia" w:ascii="仿宋" w:hAnsi="仿宋" w:eastAsia="仿宋" w:cs="仿宋"/>
                <w:kern w:val="0"/>
                <w:sz w:val="24"/>
              </w:rPr>
              <w:t>须</w:t>
            </w:r>
            <w:r>
              <w:rPr>
                <w:rFonts w:ascii="仿宋" w:hAnsi="仿宋" w:eastAsia="仿宋" w:cs="仿宋"/>
                <w:kern w:val="0"/>
                <w:sz w:val="24"/>
              </w:rPr>
              <w:t>提供荣誉证书复印件，加盖公章</w:t>
            </w:r>
            <w:r>
              <w:rPr>
                <w:rFonts w:hint="eastAsia" w:ascii="仿宋" w:hAnsi="仿宋" w:eastAsia="仿宋" w:cs="仿宋"/>
                <w:kern w:val="0"/>
                <w:sz w:val="24"/>
              </w:rPr>
              <w:t>，否则不得分</w:t>
            </w:r>
            <w:r>
              <w:rPr>
                <w:rFonts w:ascii="仿宋" w:hAnsi="仿宋" w:eastAsia="仿宋" w:cs="仿宋"/>
                <w:kern w:val="0"/>
                <w:sz w:val="24"/>
              </w:rPr>
              <w:t>。）</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0-6分</w:t>
            </w:r>
          </w:p>
        </w:tc>
        <w:tc>
          <w:tcPr>
            <w:tcW w:w="1084" w:type="dxa"/>
            <w:tcBorders>
              <w:top w:val="single" w:color="auto" w:sz="4" w:space="0"/>
              <w:left w:val="single" w:color="auto" w:sz="4" w:space="0"/>
              <w:bottom w:val="single" w:color="auto" w:sz="4" w:space="0"/>
            </w:tcBorders>
            <w:vAlign w:val="center"/>
          </w:tcPr>
          <w:p>
            <w:pPr>
              <w:pStyle w:val="24"/>
              <w:snapToGrid w:val="0"/>
              <w:spacing w:line="360" w:lineRule="auto"/>
              <w:ind w:firstLine="0" w:firstLineChars="0"/>
              <w:jc w:val="center"/>
              <w:rPr>
                <w:rFonts w:ascii="仿宋" w:hAnsi="仿宋" w:eastAsia="仿宋" w:cs="仿宋"/>
                <w:kern w:val="0"/>
              </w:rPr>
            </w:pPr>
            <w:r>
              <w:rPr>
                <w:rFonts w:hint="eastAsia" w:ascii="仿宋" w:hAnsi="仿宋" w:eastAsia="仿宋"/>
                <w:kern w:val="0"/>
              </w:rPr>
              <w:t>客观分</w:t>
            </w:r>
          </w:p>
        </w:tc>
      </w:tr>
    </w:tbl>
    <w:p>
      <w:pPr>
        <w:pStyle w:val="4"/>
        <w:jc w:val="both"/>
        <w:rPr>
          <w:color w:val="auto"/>
        </w:rPr>
      </w:pPr>
    </w:p>
    <w:p>
      <w:pPr>
        <w:widowControl/>
        <w:jc w:val="left"/>
        <w:rPr>
          <w:rFonts w:ascii="仿宋" w:hAnsi="仿宋" w:eastAsia="仿宋" w:cs="仿宋"/>
          <w:b/>
          <w:bCs/>
          <w:kern w:val="0"/>
          <w:sz w:val="24"/>
        </w:rPr>
      </w:pPr>
      <w:r>
        <w:rPr>
          <w:rFonts w:hint="eastAsia" w:ascii="仿宋" w:hAnsi="仿宋" w:eastAsia="仿宋" w:cs="仿宋"/>
          <w:b/>
          <w:bCs/>
          <w:kern w:val="0"/>
          <w:sz w:val="24"/>
        </w:rPr>
        <w:t>二、技术部分（75分）</w:t>
      </w:r>
      <w:r>
        <w:rPr>
          <w:rFonts w:hint="eastAsia" w:ascii="仿宋" w:hAnsi="仿宋" w:eastAsia="仿宋" w:cs="仿宋"/>
          <w:b/>
          <w:bCs/>
          <w:kern w:val="0"/>
          <w:sz w:val="24"/>
        </w:rPr>
        <w:tab/>
      </w:r>
    </w:p>
    <w:tbl>
      <w:tblPr>
        <w:tblStyle w:val="61"/>
        <w:tblW w:w="9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164"/>
        <w:gridCol w:w="1533"/>
        <w:gridCol w:w="3859"/>
        <w:gridCol w:w="1054"/>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3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序号</w:t>
            </w:r>
          </w:p>
        </w:tc>
        <w:tc>
          <w:tcPr>
            <w:tcW w:w="2697" w:type="dxa"/>
            <w:gridSpan w:val="2"/>
            <w:vAlign w:val="center"/>
          </w:tcPr>
          <w:p>
            <w:pPr>
              <w:widowControl/>
              <w:jc w:val="center"/>
              <w:rPr>
                <w:rFonts w:ascii="仿宋" w:hAnsi="仿宋" w:eastAsia="仿宋" w:cs="宋体"/>
                <w:kern w:val="0"/>
                <w:sz w:val="24"/>
              </w:rPr>
            </w:pPr>
            <w:r>
              <w:rPr>
                <w:rFonts w:hint="eastAsia" w:ascii="仿宋" w:hAnsi="仿宋" w:eastAsia="仿宋" w:cs="宋体"/>
                <w:kern w:val="0"/>
                <w:sz w:val="24"/>
              </w:rPr>
              <w:t>评分内容和标准</w:t>
            </w:r>
          </w:p>
        </w:tc>
        <w:tc>
          <w:tcPr>
            <w:tcW w:w="38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具体描述</w:t>
            </w:r>
          </w:p>
        </w:tc>
        <w:tc>
          <w:tcPr>
            <w:tcW w:w="1054"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分值</w:t>
            </w:r>
          </w:p>
          <w:p>
            <w:pPr>
              <w:widowControl/>
              <w:jc w:val="center"/>
              <w:rPr>
                <w:rFonts w:ascii="仿宋" w:hAnsi="仿宋" w:eastAsia="仿宋" w:cs="宋体"/>
                <w:kern w:val="0"/>
                <w:sz w:val="24"/>
              </w:rPr>
            </w:pPr>
            <w:r>
              <w:rPr>
                <w:rFonts w:hint="eastAsia" w:ascii="仿宋" w:hAnsi="仿宋" w:eastAsia="仿宋" w:cs="宋体"/>
                <w:kern w:val="0"/>
                <w:sz w:val="24"/>
              </w:rPr>
              <w:t>区间</w:t>
            </w:r>
          </w:p>
        </w:tc>
        <w:tc>
          <w:tcPr>
            <w:tcW w:w="963" w:type="dxa"/>
            <w:vAlign w:val="center"/>
          </w:tcPr>
          <w:p>
            <w:pPr>
              <w:widowControl/>
              <w:jc w:val="center"/>
              <w:rPr>
                <w:rFonts w:ascii="仿宋" w:hAnsi="仿宋" w:eastAsia="仿宋" w:cs="宋体"/>
                <w:kern w:val="0"/>
                <w:sz w:val="24"/>
              </w:rPr>
            </w:pPr>
            <w:r>
              <w:rPr>
                <w:rFonts w:ascii="仿宋" w:hAnsi="仿宋" w:eastAsia="仿宋" w:cs="宋体"/>
                <w:kern w:val="0"/>
                <w:sz w:val="24"/>
              </w:rPr>
              <w:t>主客观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30" w:type="dxa"/>
            <w:vMerge w:val="restart"/>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1164" w:type="dxa"/>
            <w:vMerge w:val="restart"/>
            <w:vAlign w:val="center"/>
          </w:tcPr>
          <w:p>
            <w:pPr>
              <w:rPr>
                <w:rFonts w:ascii="仿宋" w:hAnsi="仿宋" w:eastAsia="仿宋" w:cs="仿宋"/>
                <w:kern w:val="0"/>
                <w:sz w:val="24"/>
              </w:rPr>
            </w:pPr>
            <w:r>
              <w:rPr>
                <w:rFonts w:hint="eastAsia" w:ascii="仿宋" w:hAnsi="仿宋" w:eastAsia="仿宋" w:cs="仿宋"/>
                <w:kern w:val="0"/>
                <w:sz w:val="24"/>
              </w:rPr>
              <w:t>投标方案的合理性、科学性、全面性（根据对投标项目的理解程度、总体设计、组织实施、独到优势等情况）</w:t>
            </w:r>
          </w:p>
        </w:tc>
        <w:tc>
          <w:tcPr>
            <w:tcW w:w="1533" w:type="dxa"/>
            <w:vMerge w:val="restart"/>
            <w:vAlign w:val="center"/>
          </w:tcPr>
          <w:p>
            <w:pPr>
              <w:rPr>
                <w:rFonts w:ascii="仿宋" w:hAnsi="仿宋" w:eastAsia="仿宋" w:cs="仿宋"/>
                <w:kern w:val="0"/>
                <w:sz w:val="24"/>
              </w:rPr>
            </w:pPr>
            <w:r>
              <w:rPr>
                <w:rFonts w:hint="eastAsia" w:ascii="仿宋" w:hAnsi="仿宋" w:eastAsia="仿宋" w:cs="仿宋"/>
                <w:kern w:val="0"/>
                <w:sz w:val="24"/>
              </w:rPr>
              <w:t>针对本项目线路安排（包括景点安排）</w:t>
            </w:r>
          </w:p>
        </w:tc>
        <w:tc>
          <w:tcPr>
            <w:tcW w:w="3859" w:type="dxa"/>
            <w:vAlign w:val="center"/>
          </w:tcPr>
          <w:p>
            <w:pPr>
              <w:rPr>
                <w:rFonts w:ascii="仿宋" w:hAnsi="仿宋" w:eastAsia="仿宋" w:cs="仿宋"/>
                <w:kern w:val="0"/>
                <w:sz w:val="24"/>
              </w:rPr>
            </w:pPr>
            <w:r>
              <w:rPr>
                <w:rFonts w:hint="eastAsia" w:ascii="仿宋" w:hAnsi="仿宋" w:eastAsia="仿宋" w:cs="仿宋"/>
                <w:kern w:val="0"/>
                <w:sz w:val="24"/>
              </w:rPr>
              <w:t>根据本项目要求，每条线路必须提供详细的行程单，标明各景点特色、文化背景等，根据详尽程度</w:t>
            </w:r>
            <w:r>
              <w:rPr>
                <w:rFonts w:ascii="仿宋" w:hAnsi="仿宋" w:eastAsia="仿宋" w:cs="仿宋"/>
                <w:kern w:val="0"/>
                <w:sz w:val="24"/>
              </w:rPr>
              <w:t>综合评定</w:t>
            </w:r>
          </w:p>
          <w:p>
            <w:pPr>
              <w:rPr>
                <w:rFonts w:ascii="仿宋" w:hAnsi="仿宋" w:eastAsia="仿宋" w:cs="仿宋"/>
                <w:kern w:val="0"/>
                <w:sz w:val="24"/>
              </w:rPr>
            </w:pPr>
            <w:r>
              <w:rPr>
                <w:rFonts w:ascii="仿宋" w:hAnsi="仿宋" w:eastAsia="仿宋" w:cs="仿宋"/>
                <w:kern w:val="0"/>
                <w:sz w:val="24"/>
              </w:rPr>
              <w:t>方案可行条理清晰、内容丰富、安排合理4-5分，基本满足方案可行条理清晰、内容丰富、安排合理3-4分，不符合方案可行条理清晰、内容丰富、安排合理的1-3分。</w:t>
            </w:r>
          </w:p>
          <w:p>
            <w:pPr>
              <w:rPr>
                <w:rFonts w:ascii="仿宋" w:hAnsi="仿宋" w:eastAsia="仿宋" w:cs="仿宋"/>
                <w:kern w:val="0"/>
                <w:sz w:val="24"/>
              </w:rPr>
            </w:pPr>
            <w:r>
              <w:rPr>
                <w:rFonts w:hint="eastAsia" w:ascii="仿宋" w:hAnsi="仿宋" w:eastAsia="仿宋" w:cs="仿宋"/>
                <w:kern w:val="0"/>
                <w:sz w:val="24"/>
              </w:rPr>
              <w:t>假定终点：</w:t>
            </w:r>
          </w:p>
          <w:p>
            <w:pPr>
              <w:rPr>
                <w:rFonts w:ascii="仿宋" w:hAnsi="仿宋" w:eastAsia="仿宋" w:cs="仿宋"/>
                <w:kern w:val="0"/>
                <w:sz w:val="24"/>
              </w:rPr>
            </w:pPr>
            <w:r>
              <w:rPr>
                <w:rFonts w:hint="eastAsia" w:ascii="仿宋" w:hAnsi="仿宋" w:eastAsia="仿宋" w:cs="仿宋"/>
                <w:kern w:val="0"/>
                <w:sz w:val="24"/>
              </w:rPr>
              <w:t>线路1-西安，线路2-康定，线路3-丽水，线路4-区内</w:t>
            </w:r>
          </w:p>
        </w:tc>
        <w:tc>
          <w:tcPr>
            <w:tcW w:w="1054" w:type="dxa"/>
            <w:vAlign w:val="center"/>
          </w:tcPr>
          <w:p>
            <w:pPr>
              <w:jc w:val="center"/>
              <w:rPr>
                <w:rFonts w:ascii="仿宋" w:hAnsi="仿宋" w:eastAsia="仿宋" w:cs="仿宋"/>
                <w:kern w:val="0"/>
                <w:sz w:val="24"/>
              </w:rPr>
            </w:pPr>
            <w:r>
              <w:rPr>
                <w:rFonts w:hint="eastAsia" w:ascii="仿宋" w:hAnsi="仿宋" w:eastAsia="仿宋" w:cs="仿宋"/>
                <w:kern w:val="0"/>
                <w:sz w:val="24"/>
              </w:rPr>
              <w:t>1-5分</w:t>
            </w:r>
          </w:p>
        </w:tc>
        <w:tc>
          <w:tcPr>
            <w:tcW w:w="963" w:type="dxa"/>
            <w:vAlign w:val="center"/>
          </w:tcPr>
          <w:p>
            <w:pPr>
              <w:rPr>
                <w:rFonts w:ascii="仿宋" w:hAnsi="仿宋" w:eastAsia="仿宋" w:cs="仿宋"/>
                <w:kern w:val="0"/>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0" w:type="dxa"/>
            <w:vMerge w:val="continue"/>
            <w:vAlign w:val="center"/>
          </w:tcPr>
          <w:p>
            <w:pPr>
              <w:widowControl/>
              <w:jc w:val="center"/>
              <w:rPr>
                <w:rFonts w:ascii="仿宋" w:hAnsi="仿宋" w:eastAsia="仿宋" w:cs="宋体"/>
                <w:kern w:val="0"/>
                <w:sz w:val="24"/>
              </w:rPr>
            </w:pPr>
          </w:p>
        </w:tc>
        <w:tc>
          <w:tcPr>
            <w:tcW w:w="1164" w:type="dxa"/>
            <w:vMerge w:val="continue"/>
            <w:vAlign w:val="center"/>
          </w:tcPr>
          <w:p>
            <w:pPr>
              <w:widowControl/>
              <w:jc w:val="center"/>
              <w:rPr>
                <w:rFonts w:ascii="仿宋" w:hAnsi="仿宋" w:eastAsia="仿宋" w:cs="仿宋"/>
                <w:kern w:val="0"/>
                <w:sz w:val="24"/>
              </w:rPr>
            </w:pPr>
          </w:p>
        </w:tc>
        <w:tc>
          <w:tcPr>
            <w:tcW w:w="1533" w:type="dxa"/>
            <w:vMerge w:val="continue"/>
            <w:vAlign w:val="center"/>
          </w:tcPr>
          <w:p>
            <w:pPr>
              <w:widowControl/>
              <w:jc w:val="center"/>
              <w:rPr>
                <w:rFonts w:ascii="仿宋" w:hAnsi="仿宋" w:eastAsia="仿宋" w:cs="仿宋"/>
                <w:kern w:val="0"/>
                <w:sz w:val="24"/>
              </w:rPr>
            </w:pPr>
          </w:p>
        </w:tc>
        <w:tc>
          <w:tcPr>
            <w:tcW w:w="3859" w:type="dxa"/>
            <w:vAlign w:val="center"/>
          </w:tcPr>
          <w:p>
            <w:pPr>
              <w:rPr>
                <w:rFonts w:ascii="仿宋" w:hAnsi="仿宋" w:eastAsia="仿宋" w:cs="仿宋"/>
                <w:kern w:val="0"/>
                <w:sz w:val="24"/>
              </w:rPr>
            </w:pPr>
            <w:r>
              <w:rPr>
                <w:rFonts w:hint="eastAsia" w:ascii="仿宋" w:hAnsi="仿宋" w:eastAsia="仿宋" w:cs="仿宋"/>
                <w:kern w:val="0"/>
                <w:sz w:val="24"/>
              </w:rPr>
              <w:t>根据本项目要求，提供景点与宾馆之间的车程时间安排及游玩时间安排，根据合理性综合评定</w:t>
            </w:r>
          </w:p>
          <w:p>
            <w:pPr>
              <w:rPr>
                <w:rFonts w:ascii="仿宋" w:hAnsi="仿宋" w:eastAsia="仿宋" w:cs="仿宋"/>
                <w:kern w:val="0"/>
                <w:sz w:val="24"/>
              </w:rPr>
            </w:pPr>
            <w:r>
              <w:rPr>
                <w:rFonts w:hint="eastAsia" w:ascii="仿宋" w:hAnsi="仿宋" w:eastAsia="仿宋" w:cs="仿宋"/>
                <w:kern w:val="0"/>
                <w:sz w:val="24"/>
              </w:rPr>
              <w:t>方案可行条+理清晰、内容丰富、安排合理4-6分，基本满足方案可行条理清晰、内容丰富、安排合理3-4分，不符合方案可行条理清晰、内容丰富、安排合理的1-3分。</w:t>
            </w:r>
          </w:p>
          <w:p>
            <w:pPr>
              <w:rPr>
                <w:rFonts w:ascii="仿宋" w:hAnsi="仿宋" w:eastAsia="仿宋" w:cs="仿宋"/>
                <w:kern w:val="0"/>
                <w:sz w:val="24"/>
              </w:rPr>
            </w:pPr>
            <w:r>
              <w:rPr>
                <w:rFonts w:hint="eastAsia" w:ascii="仿宋" w:hAnsi="仿宋" w:eastAsia="仿宋" w:cs="仿宋"/>
                <w:kern w:val="0"/>
                <w:sz w:val="24"/>
              </w:rPr>
              <w:t>假定终点：</w:t>
            </w:r>
          </w:p>
          <w:p>
            <w:pPr>
              <w:rPr>
                <w:rFonts w:ascii="仿宋" w:hAnsi="仿宋" w:eastAsia="仿宋" w:cs="仿宋"/>
                <w:kern w:val="0"/>
                <w:sz w:val="24"/>
              </w:rPr>
            </w:pPr>
            <w:r>
              <w:rPr>
                <w:rFonts w:hint="eastAsia" w:ascii="仿宋" w:hAnsi="仿宋" w:eastAsia="仿宋" w:cs="仿宋"/>
                <w:kern w:val="0"/>
                <w:sz w:val="24"/>
              </w:rPr>
              <w:t>线路1-西安，线路2-康定，线路3-丽水，线路4-区内</w:t>
            </w:r>
          </w:p>
        </w:tc>
        <w:tc>
          <w:tcPr>
            <w:tcW w:w="1054" w:type="dxa"/>
            <w:vAlign w:val="center"/>
          </w:tcPr>
          <w:p>
            <w:pPr>
              <w:jc w:val="center"/>
              <w:rPr>
                <w:rFonts w:ascii="仿宋" w:hAnsi="仿宋" w:eastAsia="仿宋" w:cs="仿宋"/>
                <w:kern w:val="0"/>
                <w:sz w:val="24"/>
              </w:rPr>
            </w:pPr>
            <w:r>
              <w:rPr>
                <w:rFonts w:hint="eastAsia" w:ascii="仿宋" w:hAnsi="仿宋" w:eastAsia="仿宋" w:cs="仿宋"/>
                <w:kern w:val="0"/>
                <w:sz w:val="24"/>
              </w:rPr>
              <w:t>1-6分</w:t>
            </w:r>
          </w:p>
        </w:tc>
        <w:tc>
          <w:tcPr>
            <w:tcW w:w="963" w:type="dxa"/>
            <w:vAlign w:val="center"/>
          </w:tcPr>
          <w:p>
            <w:pPr>
              <w:rPr>
                <w:rFonts w:ascii="仿宋" w:hAnsi="仿宋" w:eastAsia="仿宋" w:cs="仿宋"/>
                <w:kern w:val="0"/>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30" w:type="dxa"/>
            <w:vMerge w:val="continue"/>
            <w:vAlign w:val="center"/>
          </w:tcPr>
          <w:p>
            <w:pPr>
              <w:widowControl/>
              <w:jc w:val="center"/>
              <w:rPr>
                <w:rFonts w:ascii="仿宋" w:hAnsi="仿宋" w:eastAsia="仿宋" w:cs="宋体"/>
                <w:kern w:val="0"/>
                <w:sz w:val="24"/>
              </w:rPr>
            </w:pPr>
          </w:p>
        </w:tc>
        <w:tc>
          <w:tcPr>
            <w:tcW w:w="1164" w:type="dxa"/>
            <w:vMerge w:val="continue"/>
            <w:vAlign w:val="center"/>
          </w:tcPr>
          <w:p>
            <w:pPr>
              <w:widowControl/>
              <w:jc w:val="center"/>
              <w:rPr>
                <w:rFonts w:ascii="仿宋" w:hAnsi="仿宋" w:eastAsia="仿宋" w:cs="仿宋"/>
                <w:kern w:val="0"/>
                <w:sz w:val="24"/>
              </w:rPr>
            </w:pPr>
          </w:p>
        </w:tc>
        <w:tc>
          <w:tcPr>
            <w:tcW w:w="1533" w:type="dxa"/>
            <w:vMerge w:val="continue"/>
            <w:vAlign w:val="center"/>
          </w:tcPr>
          <w:p>
            <w:pPr>
              <w:widowControl/>
              <w:jc w:val="center"/>
              <w:rPr>
                <w:rFonts w:ascii="仿宋" w:hAnsi="仿宋" w:eastAsia="仿宋" w:cs="仿宋"/>
                <w:kern w:val="0"/>
                <w:sz w:val="24"/>
              </w:rPr>
            </w:pPr>
          </w:p>
        </w:tc>
        <w:tc>
          <w:tcPr>
            <w:tcW w:w="3859" w:type="dxa"/>
            <w:vAlign w:val="center"/>
          </w:tcPr>
          <w:p>
            <w:pPr>
              <w:rPr>
                <w:rFonts w:ascii="仿宋" w:hAnsi="仿宋" w:eastAsia="仿宋" w:cs="仿宋"/>
                <w:kern w:val="0"/>
                <w:sz w:val="24"/>
              </w:rPr>
            </w:pPr>
            <w:r>
              <w:rPr>
                <w:rFonts w:hint="eastAsia" w:ascii="仿宋" w:hAnsi="仿宋" w:eastAsia="仿宋" w:cs="仿宋"/>
                <w:kern w:val="0"/>
                <w:sz w:val="24"/>
              </w:rPr>
              <w:t>根据本项目要求，提供每条线路的疫情防控安排及应急措施，综合评定</w:t>
            </w:r>
          </w:p>
          <w:p>
            <w:pPr>
              <w:rPr>
                <w:rFonts w:ascii="仿宋" w:hAnsi="仿宋" w:eastAsia="仿宋" w:cs="仿宋"/>
                <w:kern w:val="0"/>
                <w:sz w:val="24"/>
              </w:rPr>
            </w:pPr>
            <w:r>
              <w:rPr>
                <w:rFonts w:hint="eastAsia" w:ascii="仿宋" w:hAnsi="仿宋" w:eastAsia="仿宋" w:cs="仿宋"/>
                <w:kern w:val="0"/>
                <w:sz w:val="24"/>
              </w:rPr>
              <w:t>方案可行条理清晰、内容丰富、安排合理4-5分，基本满足方案可行条理清晰、内容丰富、安排合理3-4分，不符合方案可行条理清晰、内容丰富、安排合理的1-3分。</w:t>
            </w:r>
          </w:p>
        </w:tc>
        <w:tc>
          <w:tcPr>
            <w:tcW w:w="1054" w:type="dxa"/>
            <w:vAlign w:val="center"/>
          </w:tcPr>
          <w:p>
            <w:pPr>
              <w:jc w:val="center"/>
              <w:rPr>
                <w:rFonts w:ascii="仿宋" w:hAnsi="仿宋" w:eastAsia="仿宋" w:cs="仿宋"/>
                <w:kern w:val="0"/>
                <w:sz w:val="24"/>
              </w:rPr>
            </w:pPr>
            <w:r>
              <w:rPr>
                <w:rFonts w:hint="eastAsia" w:ascii="仿宋" w:hAnsi="仿宋" w:eastAsia="仿宋" w:cs="仿宋"/>
                <w:kern w:val="0"/>
                <w:sz w:val="24"/>
              </w:rPr>
              <w:t>1-5分</w:t>
            </w:r>
          </w:p>
        </w:tc>
        <w:tc>
          <w:tcPr>
            <w:tcW w:w="963" w:type="dxa"/>
            <w:vAlign w:val="center"/>
          </w:tcPr>
          <w:p>
            <w:pPr>
              <w:rPr>
                <w:rFonts w:ascii="仿宋" w:hAnsi="仿宋" w:eastAsia="仿宋" w:cs="仿宋"/>
                <w:kern w:val="0"/>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30" w:type="dxa"/>
            <w:vMerge w:val="continue"/>
            <w:vAlign w:val="center"/>
          </w:tcPr>
          <w:p>
            <w:pPr>
              <w:widowControl/>
              <w:jc w:val="center"/>
              <w:rPr>
                <w:rFonts w:ascii="仿宋" w:hAnsi="仿宋" w:eastAsia="仿宋" w:cs="宋体"/>
                <w:kern w:val="0"/>
                <w:sz w:val="24"/>
              </w:rPr>
            </w:pPr>
          </w:p>
        </w:tc>
        <w:tc>
          <w:tcPr>
            <w:tcW w:w="1164" w:type="dxa"/>
            <w:vMerge w:val="continue"/>
            <w:vAlign w:val="center"/>
          </w:tcPr>
          <w:p>
            <w:pPr>
              <w:widowControl/>
              <w:jc w:val="center"/>
              <w:rPr>
                <w:rFonts w:ascii="仿宋" w:hAnsi="仿宋" w:eastAsia="仿宋" w:cs="仿宋"/>
                <w:kern w:val="0"/>
                <w:sz w:val="24"/>
              </w:rPr>
            </w:pPr>
          </w:p>
        </w:tc>
        <w:tc>
          <w:tcPr>
            <w:tcW w:w="1533" w:type="dxa"/>
            <w:vMerge w:val="continue"/>
            <w:vAlign w:val="center"/>
          </w:tcPr>
          <w:p>
            <w:pPr>
              <w:widowControl/>
              <w:jc w:val="center"/>
              <w:rPr>
                <w:rFonts w:ascii="仿宋" w:hAnsi="仿宋" w:eastAsia="仿宋" w:cs="仿宋"/>
                <w:kern w:val="0"/>
                <w:sz w:val="24"/>
              </w:rPr>
            </w:pPr>
          </w:p>
        </w:tc>
        <w:tc>
          <w:tcPr>
            <w:tcW w:w="3859" w:type="dxa"/>
            <w:vAlign w:val="center"/>
          </w:tcPr>
          <w:p>
            <w:pPr>
              <w:rPr>
                <w:rFonts w:ascii="仿宋" w:hAnsi="仿宋" w:eastAsia="仿宋" w:cs="仿宋"/>
                <w:kern w:val="0"/>
                <w:sz w:val="24"/>
              </w:rPr>
            </w:pPr>
            <w:r>
              <w:rPr>
                <w:rFonts w:hint="eastAsia" w:ascii="仿宋" w:hAnsi="仿宋" w:eastAsia="仿宋" w:cs="仿宋"/>
                <w:kern w:val="0"/>
                <w:sz w:val="24"/>
              </w:rPr>
              <w:t>根据本项目要求，提供住宿环境、地方餐饮特色美食等情况承诺，综合评定</w:t>
            </w:r>
          </w:p>
          <w:p>
            <w:pPr>
              <w:rPr>
                <w:rFonts w:ascii="仿宋" w:hAnsi="仿宋" w:eastAsia="仿宋" w:cs="仿宋"/>
                <w:kern w:val="0"/>
                <w:sz w:val="24"/>
              </w:rPr>
            </w:pPr>
            <w:r>
              <w:rPr>
                <w:rFonts w:hint="eastAsia" w:ascii="仿宋" w:hAnsi="仿宋" w:eastAsia="仿宋" w:cs="仿宋"/>
                <w:kern w:val="0"/>
                <w:sz w:val="24"/>
              </w:rPr>
              <w:t>方案可行条+理清晰、内容丰富、安排合理4-6分，基本满足方案可行条理清晰、内容丰富、安排合理3-4分，不符合方案可行条理清晰、内容丰富、安排合理的1-3分。</w:t>
            </w:r>
          </w:p>
          <w:p>
            <w:pPr>
              <w:rPr>
                <w:rFonts w:ascii="仿宋" w:hAnsi="仿宋" w:eastAsia="仿宋" w:cs="仿宋"/>
                <w:kern w:val="0"/>
                <w:sz w:val="24"/>
              </w:rPr>
            </w:pPr>
            <w:r>
              <w:rPr>
                <w:rFonts w:hint="eastAsia" w:ascii="仿宋" w:hAnsi="仿宋" w:eastAsia="仿宋" w:cs="仿宋"/>
                <w:kern w:val="0"/>
                <w:sz w:val="24"/>
              </w:rPr>
              <w:t>假定终点：</w:t>
            </w:r>
          </w:p>
          <w:p>
            <w:pPr>
              <w:rPr>
                <w:rFonts w:ascii="仿宋" w:hAnsi="仿宋" w:eastAsia="仿宋" w:cs="仿宋"/>
                <w:kern w:val="0"/>
                <w:sz w:val="24"/>
              </w:rPr>
            </w:pPr>
            <w:r>
              <w:rPr>
                <w:rFonts w:hint="eastAsia" w:ascii="仿宋" w:hAnsi="仿宋" w:eastAsia="仿宋" w:cs="仿宋"/>
                <w:kern w:val="0"/>
                <w:sz w:val="24"/>
              </w:rPr>
              <w:t>线路1-西安，线路2-康定，线路3-丽水，线路4-区内</w:t>
            </w:r>
          </w:p>
        </w:tc>
        <w:tc>
          <w:tcPr>
            <w:tcW w:w="1054" w:type="dxa"/>
            <w:vAlign w:val="center"/>
          </w:tcPr>
          <w:p>
            <w:pPr>
              <w:jc w:val="center"/>
              <w:rPr>
                <w:rFonts w:ascii="仿宋" w:hAnsi="仿宋" w:eastAsia="仿宋" w:cs="仿宋"/>
                <w:kern w:val="0"/>
                <w:sz w:val="24"/>
              </w:rPr>
            </w:pPr>
            <w:r>
              <w:rPr>
                <w:rFonts w:hint="eastAsia" w:ascii="仿宋" w:hAnsi="仿宋" w:eastAsia="仿宋" w:cs="仿宋"/>
                <w:sz w:val="24"/>
              </w:rPr>
              <w:t>1-6分</w:t>
            </w:r>
          </w:p>
        </w:tc>
        <w:tc>
          <w:tcPr>
            <w:tcW w:w="963" w:type="dxa"/>
            <w:vAlign w:val="center"/>
          </w:tcPr>
          <w:p>
            <w:pPr>
              <w:rPr>
                <w:rFonts w:ascii="仿宋" w:hAnsi="仿宋" w:eastAsia="仿宋" w:cs="仿宋"/>
                <w:kern w:val="0"/>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1030" w:type="dxa"/>
            <w:vMerge w:val="restart"/>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1164" w:type="dxa"/>
            <w:vMerge w:val="restart"/>
            <w:vAlign w:val="center"/>
          </w:tcPr>
          <w:p>
            <w:pPr>
              <w:rPr>
                <w:rFonts w:ascii="仿宋" w:hAnsi="仿宋" w:eastAsia="仿宋" w:cs="仿宋"/>
                <w:kern w:val="0"/>
                <w:sz w:val="24"/>
              </w:rPr>
            </w:pPr>
            <w:r>
              <w:rPr>
                <w:rFonts w:hint="eastAsia" w:ascii="仿宋" w:hAnsi="仿宋" w:eastAsia="仿宋" w:cs="仿宋"/>
                <w:kern w:val="0"/>
                <w:sz w:val="24"/>
              </w:rPr>
              <w:t>投标方案中提供或使用主要设备的优劣综合评定</w:t>
            </w:r>
          </w:p>
        </w:tc>
        <w:tc>
          <w:tcPr>
            <w:tcW w:w="1533" w:type="dxa"/>
            <w:vMerge w:val="restart"/>
            <w:vAlign w:val="center"/>
          </w:tcPr>
          <w:p>
            <w:pPr>
              <w:rPr>
                <w:rFonts w:ascii="仿宋" w:hAnsi="仿宋" w:eastAsia="仿宋" w:cs="仿宋"/>
                <w:kern w:val="0"/>
                <w:sz w:val="24"/>
              </w:rPr>
            </w:pPr>
            <w:r>
              <w:rPr>
                <w:rFonts w:hint="eastAsia" w:ascii="仿宋" w:hAnsi="仿宋" w:eastAsia="仿宋" w:cs="仿宋"/>
                <w:kern w:val="0"/>
                <w:sz w:val="24"/>
              </w:rPr>
              <w:t>旅游车或其他交通工具安排等选择情况是否符合本次需求（可提供相关图片、驾照、行驶证作为辅助评审材料）</w:t>
            </w:r>
          </w:p>
        </w:tc>
        <w:tc>
          <w:tcPr>
            <w:tcW w:w="3859" w:type="dxa"/>
            <w:vAlign w:val="center"/>
          </w:tcPr>
          <w:p>
            <w:pPr>
              <w:rPr>
                <w:rFonts w:ascii="仿宋" w:hAnsi="仿宋" w:eastAsia="仿宋" w:cs="仿宋"/>
                <w:kern w:val="0"/>
                <w:sz w:val="24"/>
              </w:rPr>
            </w:pPr>
            <w:r>
              <w:rPr>
                <w:rFonts w:hint="eastAsia" w:ascii="仿宋" w:hAnsi="仿宋" w:eastAsia="仿宋" w:cs="仿宋"/>
                <w:kern w:val="0"/>
                <w:sz w:val="24"/>
              </w:rPr>
              <w:t>根据投标文件中提供车型、车况、座位比等情况综合评定。</w:t>
            </w:r>
          </w:p>
        </w:tc>
        <w:tc>
          <w:tcPr>
            <w:tcW w:w="1054" w:type="dxa"/>
            <w:vAlign w:val="center"/>
          </w:tcPr>
          <w:p>
            <w:pPr>
              <w:jc w:val="center"/>
              <w:rPr>
                <w:rFonts w:ascii="仿宋" w:hAnsi="仿宋" w:eastAsia="仿宋" w:cs="仿宋"/>
                <w:kern w:val="0"/>
                <w:sz w:val="24"/>
              </w:rPr>
            </w:pPr>
            <w:r>
              <w:rPr>
                <w:rFonts w:hint="eastAsia" w:ascii="仿宋" w:hAnsi="仿宋" w:eastAsia="仿宋" w:cs="仿宋"/>
                <w:sz w:val="24"/>
              </w:rPr>
              <w:t>1-3</w:t>
            </w:r>
            <w:r>
              <w:rPr>
                <w:rFonts w:hint="eastAsia" w:ascii="仿宋" w:hAnsi="仿宋" w:eastAsia="仿宋" w:cs="仿宋"/>
                <w:kern w:val="0"/>
                <w:sz w:val="24"/>
              </w:rPr>
              <w:t>分</w:t>
            </w:r>
          </w:p>
        </w:tc>
        <w:tc>
          <w:tcPr>
            <w:tcW w:w="963" w:type="dxa"/>
            <w:vAlign w:val="center"/>
          </w:tcPr>
          <w:p>
            <w:pPr>
              <w:rPr>
                <w:rFonts w:ascii="仿宋" w:hAnsi="仿宋" w:eastAsia="仿宋" w:cs="仿宋"/>
                <w:kern w:val="0"/>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30" w:type="dxa"/>
            <w:vMerge w:val="continue"/>
            <w:vAlign w:val="center"/>
          </w:tcPr>
          <w:p>
            <w:pPr>
              <w:widowControl/>
              <w:jc w:val="center"/>
              <w:rPr>
                <w:rFonts w:ascii="仿宋" w:hAnsi="仿宋" w:eastAsia="仿宋" w:cs="宋体"/>
                <w:kern w:val="0"/>
                <w:sz w:val="24"/>
              </w:rPr>
            </w:pPr>
          </w:p>
        </w:tc>
        <w:tc>
          <w:tcPr>
            <w:tcW w:w="1164" w:type="dxa"/>
            <w:vMerge w:val="continue"/>
            <w:vAlign w:val="center"/>
          </w:tcPr>
          <w:p>
            <w:pPr>
              <w:widowControl/>
              <w:jc w:val="center"/>
              <w:rPr>
                <w:rFonts w:ascii="仿宋" w:hAnsi="仿宋" w:eastAsia="仿宋" w:cs="仿宋"/>
                <w:kern w:val="0"/>
                <w:sz w:val="24"/>
              </w:rPr>
            </w:pPr>
          </w:p>
        </w:tc>
        <w:tc>
          <w:tcPr>
            <w:tcW w:w="1533" w:type="dxa"/>
            <w:vMerge w:val="continue"/>
            <w:vAlign w:val="center"/>
          </w:tcPr>
          <w:p>
            <w:pPr>
              <w:widowControl/>
              <w:jc w:val="center"/>
              <w:rPr>
                <w:rFonts w:ascii="仿宋" w:hAnsi="仿宋" w:eastAsia="仿宋" w:cs="仿宋"/>
                <w:kern w:val="0"/>
                <w:sz w:val="24"/>
              </w:rPr>
            </w:pPr>
          </w:p>
        </w:tc>
        <w:tc>
          <w:tcPr>
            <w:tcW w:w="3859" w:type="dxa"/>
            <w:vAlign w:val="center"/>
          </w:tcPr>
          <w:p>
            <w:pPr>
              <w:rPr>
                <w:rFonts w:ascii="仿宋" w:hAnsi="仿宋" w:eastAsia="仿宋" w:cs="仿宋"/>
                <w:kern w:val="0"/>
                <w:sz w:val="24"/>
              </w:rPr>
            </w:pPr>
            <w:r>
              <w:rPr>
                <w:rFonts w:hint="eastAsia" w:ascii="仿宋" w:hAnsi="仿宋" w:eastAsia="仿宋" w:cs="仿宋"/>
                <w:kern w:val="0"/>
                <w:sz w:val="24"/>
              </w:rPr>
              <w:t>根据投标文件中提供的司机驾龄（超过3年）、当地用车情况综合评定 。</w:t>
            </w:r>
          </w:p>
        </w:tc>
        <w:tc>
          <w:tcPr>
            <w:tcW w:w="1054" w:type="dxa"/>
            <w:vAlign w:val="center"/>
          </w:tcPr>
          <w:p>
            <w:pPr>
              <w:jc w:val="center"/>
              <w:rPr>
                <w:rFonts w:ascii="仿宋" w:hAnsi="仿宋" w:eastAsia="仿宋" w:cs="仿宋"/>
                <w:kern w:val="0"/>
                <w:sz w:val="24"/>
              </w:rPr>
            </w:pPr>
            <w:r>
              <w:rPr>
                <w:rFonts w:hint="eastAsia" w:ascii="仿宋" w:hAnsi="仿宋" w:eastAsia="仿宋" w:cs="仿宋"/>
                <w:kern w:val="0"/>
                <w:sz w:val="24"/>
              </w:rPr>
              <w:t>1-2分</w:t>
            </w:r>
          </w:p>
        </w:tc>
        <w:tc>
          <w:tcPr>
            <w:tcW w:w="963" w:type="dxa"/>
            <w:vAlign w:val="center"/>
          </w:tcPr>
          <w:p>
            <w:pPr>
              <w:rPr>
                <w:rFonts w:ascii="仿宋" w:hAnsi="仿宋" w:eastAsia="仿宋" w:cs="仿宋"/>
                <w:kern w:val="0"/>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30"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7</w:t>
            </w:r>
          </w:p>
        </w:tc>
        <w:tc>
          <w:tcPr>
            <w:tcW w:w="2697" w:type="dxa"/>
            <w:gridSpan w:val="2"/>
            <w:shd w:val="clear" w:color="auto" w:fill="auto"/>
            <w:vAlign w:val="center"/>
          </w:tcPr>
          <w:p>
            <w:pPr>
              <w:rPr>
                <w:rFonts w:ascii="仿宋" w:hAnsi="仿宋" w:eastAsia="仿宋" w:cs="宋体"/>
                <w:kern w:val="0"/>
                <w:sz w:val="24"/>
              </w:rPr>
            </w:pPr>
            <w:r>
              <w:rPr>
                <w:rFonts w:hint="eastAsia" w:ascii="仿宋" w:hAnsi="仿宋" w:eastAsia="仿宋" w:cs="宋体"/>
                <w:kern w:val="0"/>
                <w:sz w:val="24"/>
              </w:rPr>
              <w:t xml:space="preserve">保证进度和项目完成的方案和措施等综合评定 </w:t>
            </w:r>
          </w:p>
        </w:tc>
        <w:tc>
          <w:tcPr>
            <w:tcW w:w="3859" w:type="dxa"/>
            <w:vAlign w:val="center"/>
          </w:tcPr>
          <w:p>
            <w:pPr>
              <w:jc w:val="left"/>
              <w:rPr>
                <w:rFonts w:ascii="仿宋" w:hAnsi="仿宋" w:eastAsia="仿宋" w:cs="宋体"/>
                <w:sz w:val="24"/>
                <w:lang w:val="zh-CN"/>
              </w:rPr>
            </w:pPr>
            <w:r>
              <w:rPr>
                <w:rFonts w:hint="eastAsia" w:ascii="仿宋" w:hAnsi="仿宋" w:eastAsia="仿宋" w:cs="宋体"/>
                <w:kern w:val="0"/>
                <w:sz w:val="24"/>
              </w:rPr>
              <w:t>本次疗休养实施</w:t>
            </w:r>
            <w:r>
              <w:rPr>
                <w:rFonts w:hint="eastAsia" w:ascii="仿宋" w:hAnsi="仿宋" w:eastAsia="仿宋" w:cs="宋体"/>
                <w:sz w:val="24"/>
                <w:lang w:val="zh-CN"/>
              </w:rPr>
              <w:t>工作程序和步骤、管理和协调方法以及关键步骤和要点等</w:t>
            </w:r>
          </w:p>
          <w:p>
            <w:pPr>
              <w:jc w:val="left"/>
              <w:rPr>
                <w:rFonts w:ascii="仿宋" w:hAnsi="仿宋" w:eastAsia="仿宋" w:cs="宋体"/>
                <w:b/>
                <w:bCs/>
                <w:kern w:val="0"/>
                <w:sz w:val="24"/>
              </w:rPr>
            </w:pPr>
            <w:r>
              <w:rPr>
                <w:rFonts w:hint="eastAsia" w:ascii="仿宋" w:hAnsi="仿宋" w:eastAsia="仿宋" w:cs="仿宋"/>
                <w:kern w:val="0"/>
                <w:sz w:val="24"/>
              </w:rPr>
              <w:t>方案可行条理清晰、内容丰富、安排合理4-5分，基本满足方案可行条理清晰、内容丰富、安排合理3-4分，不符合方案可行条理清晰、内容丰富、安排合理的1-3分。</w:t>
            </w:r>
            <w:r>
              <w:rPr>
                <w:rFonts w:hint="eastAsia" w:ascii="仿宋" w:hAnsi="仿宋" w:eastAsia="仿宋" w:cs="宋体"/>
                <w:sz w:val="24"/>
                <w:lang w:val="zh-CN"/>
              </w:rPr>
              <w:t>。</w:t>
            </w:r>
          </w:p>
        </w:tc>
        <w:tc>
          <w:tcPr>
            <w:tcW w:w="1054" w:type="dxa"/>
            <w:vAlign w:val="center"/>
          </w:tcPr>
          <w:p>
            <w:pPr>
              <w:jc w:val="center"/>
              <w:rPr>
                <w:rFonts w:ascii="仿宋" w:hAnsi="仿宋" w:eastAsia="仿宋"/>
                <w:sz w:val="24"/>
              </w:rPr>
            </w:pPr>
            <w:r>
              <w:rPr>
                <w:rFonts w:hint="eastAsia" w:ascii="仿宋" w:hAnsi="仿宋" w:eastAsia="仿宋"/>
                <w:sz w:val="24"/>
              </w:rPr>
              <w:t>1-5分</w:t>
            </w:r>
          </w:p>
        </w:tc>
        <w:tc>
          <w:tcPr>
            <w:tcW w:w="963" w:type="dxa"/>
            <w:vAlign w:val="center"/>
          </w:tcPr>
          <w:p>
            <w:pPr>
              <w:jc w:val="center"/>
              <w:rPr>
                <w:rFonts w:ascii="仿宋" w:hAnsi="仿宋" w:eastAsia="仿宋"/>
                <w:sz w:val="24"/>
              </w:rPr>
            </w:pPr>
            <w:r>
              <w:rPr>
                <w:rFonts w:hint="eastAsia" w:ascii="仿宋" w:hAnsi="仿宋" w:eastAsia="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030"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w:t>
            </w:r>
          </w:p>
        </w:tc>
        <w:tc>
          <w:tcPr>
            <w:tcW w:w="2697" w:type="dxa"/>
            <w:gridSpan w:val="2"/>
            <w:shd w:val="clear" w:color="auto" w:fill="auto"/>
            <w:vAlign w:val="center"/>
          </w:tcPr>
          <w:p>
            <w:pPr>
              <w:rPr>
                <w:rFonts w:ascii="仿宋" w:hAnsi="仿宋" w:eastAsia="仿宋" w:cs="宋体"/>
                <w:kern w:val="0"/>
                <w:sz w:val="24"/>
              </w:rPr>
            </w:pPr>
            <w:r>
              <w:rPr>
                <w:rFonts w:hint="eastAsia" w:ascii="仿宋" w:hAnsi="仿宋" w:eastAsia="仿宋" w:cs="宋体"/>
                <w:kern w:val="0"/>
                <w:sz w:val="24"/>
              </w:rPr>
              <w:t>项目负责人及技术力量安排等综合评定</w:t>
            </w:r>
          </w:p>
        </w:tc>
        <w:tc>
          <w:tcPr>
            <w:tcW w:w="3859" w:type="dxa"/>
            <w:vAlign w:val="center"/>
          </w:tcPr>
          <w:p>
            <w:pPr>
              <w:jc w:val="left"/>
              <w:rPr>
                <w:rFonts w:ascii="仿宋" w:hAnsi="仿宋" w:eastAsia="仿宋" w:cs="宋体"/>
                <w:b/>
                <w:bCs/>
                <w:kern w:val="0"/>
                <w:sz w:val="24"/>
              </w:rPr>
            </w:pPr>
            <w:r>
              <w:rPr>
                <w:rFonts w:hint="eastAsia" w:ascii="仿宋" w:hAnsi="仿宋" w:eastAsia="仿宋" w:cs="宋体"/>
                <w:sz w:val="24"/>
                <w:lang w:val="zh-CN"/>
              </w:rPr>
              <w:t>项目负责人的专业素质、技术能力、经验以及调动各项资源的能力、如拥有金牌导游等级高低、旅游专业学历及职业证书等；项目组成员专业素质、能力、经验等</w:t>
            </w:r>
          </w:p>
        </w:tc>
        <w:tc>
          <w:tcPr>
            <w:tcW w:w="1054" w:type="dxa"/>
            <w:vAlign w:val="center"/>
          </w:tcPr>
          <w:p>
            <w:pPr>
              <w:jc w:val="center"/>
              <w:rPr>
                <w:rFonts w:ascii="仿宋" w:hAnsi="仿宋" w:eastAsia="仿宋"/>
                <w:sz w:val="24"/>
              </w:rPr>
            </w:pPr>
            <w:r>
              <w:rPr>
                <w:rFonts w:ascii="仿宋" w:hAnsi="仿宋" w:eastAsia="仿宋"/>
                <w:sz w:val="24"/>
              </w:rPr>
              <w:t>1</w:t>
            </w:r>
            <w:r>
              <w:rPr>
                <w:rFonts w:hint="eastAsia" w:ascii="仿宋" w:hAnsi="仿宋" w:eastAsia="仿宋"/>
                <w:sz w:val="24"/>
              </w:rPr>
              <w:t>-3分</w:t>
            </w:r>
          </w:p>
        </w:tc>
        <w:tc>
          <w:tcPr>
            <w:tcW w:w="963" w:type="dxa"/>
            <w:vAlign w:val="center"/>
          </w:tcPr>
          <w:p>
            <w:pPr>
              <w:jc w:val="center"/>
              <w:rPr>
                <w:rFonts w:ascii="仿宋" w:hAnsi="仿宋" w:eastAsia="仿宋"/>
                <w:sz w:val="24"/>
              </w:rPr>
            </w:pPr>
            <w:r>
              <w:rPr>
                <w:rFonts w:hint="eastAsia" w:ascii="仿宋" w:hAnsi="仿宋" w:eastAsia="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030"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9</w:t>
            </w:r>
          </w:p>
        </w:tc>
        <w:tc>
          <w:tcPr>
            <w:tcW w:w="2697" w:type="dxa"/>
            <w:gridSpan w:val="2"/>
            <w:shd w:val="clear" w:color="auto" w:fill="auto"/>
            <w:vAlign w:val="center"/>
          </w:tcPr>
          <w:p>
            <w:pPr>
              <w:rPr>
                <w:rFonts w:ascii="仿宋" w:hAnsi="仿宋" w:eastAsia="仿宋" w:cs="宋体"/>
                <w:kern w:val="0"/>
                <w:sz w:val="24"/>
              </w:rPr>
            </w:pPr>
            <w:r>
              <w:rPr>
                <w:rFonts w:hint="eastAsia" w:ascii="仿宋" w:hAnsi="仿宋" w:eastAsia="仿宋" w:cs="宋体"/>
                <w:kern w:val="0"/>
                <w:sz w:val="24"/>
              </w:rPr>
              <w:t xml:space="preserve">对本项目的合理化建议综合评定  </w:t>
            </w:r>
          </w:p>
        </w:tc>
        <w:tc>
          <w:tcPr>
            <w:tcW w:w="3859" w:type="dxa"/>
            <w:vAlign w:val="center"/>
          </w:tcPr>
          <w:p>
            <w:pPr>
              <w:jc w:val="left"/>
              <w:rPr>
                <w:rFonts w:ascii="仿宋" w:hAnsi="仿宋" w:eastAsia="仿宋" w:cs="宋体"/>
                <w:kern w:val="0"/>
                <w:sz w:val="24"/>
              </w:rPr>
            </w:pPr>
            <w:r>
              <w:rPr>
                <w:rFonts w:hint="eastAsia" w:ascii="仿宋" w:hAnsi="仿宋" w:eastAsia="仿宋" w:cs="宋体"/>
                <w:kern w:val="0"/>
                <w:sz w:val="24"/>
              </w:rPr>
              <w:t>在标书中规定的线路标准的基础上，根据投标方优化方案，提出合理化建议</w:t>
            </w:r>
          </w:p>
          <w:p>
            <w:pPr>
              <w:jc w:val="left"/>
              <w:rPr>
                <w:rFonts w:ascii="仿宋" w:hAnsi="仿宋" w:eastAsia="仿宋" w:cs="宋体"/>
                <w:b/>
                <w:bCs/>
                <w:kern w:val="0"/>
                <w:sz w:val="24"/>
              </w:rPr>
            </w:pPr>
            <w:r>
              <w:rPr>
                <w:rFonts w:hint="eastAsia" w:ascii="仿宋" w:hAnsi="仿宋" w:eastAsia="仿宋" w:cs="宋体"/>
                <w:kern w:val="0"/>
                <w:sz w:val="24"/>
              </w:rPr>
              <w:t>方案可行条理清晰、内容丰富、安排合理4-5分，基本满足方案可行条理清晰、内容丰富、安排合理3-4分，不符合方案可行条理清晰、内容丰富、安排合理的1-3分。</w:t>
            </w:r>
          </w:p>
        </w:tc>
        <w:tc>
          <w:tcPr>
            <w:tcW w:w="1054" w:type="dxa"/>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5分</w:t>
            </w:r>
          </w:p>
        </w:tc>
        <w:tc>
          <w:tcPr>
            <w:tcW w:w="963" w:type="dxa"/>
            <w:vAlign w:val="center"/>
          </w:tcPr>
          <w:p>
            <w:pPr>
              <w:jc w:val="center"/>
              <w:rPr>
                <w:rFonts w:ascii="仿宋" w:hAnsi="仿宋" w:eastAsia="仿宋"/>
                <w:sz w:val="24"/>
              </w:rPr>
            </w:pPr>
            <w:r>
              <w:rPr>
                <w:rFonts w:hint="eastAsia" w:ascii="仿宋" w:hAnsi="仿宋" w:eastAsia="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0"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10</w:t>
            </w:r>
          </w:p>
        </w:tc>
        <w:tc>
          <w:tcPr>
            <w:tcW w:w="2697" w:type="dxa"/>
            <w:gridSpan w:val="2"/>
            <w:shd w:val="clear" w:color="auto" w:fill="auto"/>
            <w:vAlign w:val="center"/>
          </w:tcPr>
          <w:p>
            <w:pPr>
              <w:rPr>
                <w:rFonts w:ascii="仿宋" w:hAnsi="仿宋" w:eastAsia="仿宋" w:cs="宋体"/>
                <w:kern w:val="0"/>
                <w:sz w:val="24"/>
              </w:rPr>
            </w:pPr>
            <w:r>
              <w:rPr>
                <w:rFonts w:hint="eastAsia" w:ascii="仿宋" w:hAnsi="仿宋" w:eastAsia="仿宋" w:cs="宋体"/>
                <w:kern w:val="0"/>
                <w:sz w:val="24"/>
              </w:rPr>
              <w:t>服务承诺（根据售后服务方案、措施、响应及本地化服务能力等情况综合评定）</w:t>
            </w:r>
          </w:p>
        </w:tc>
        <w:tc>
          <w:tcPr>
            <w:tcW w:w="3859" w:type="dxa"/>
            <w:vAlign w:val="center"/>
          </w:tcPr>
          <w:p>
            <w:pPr>
              <w:jc w:val="left"/>
              <w:rPr>
                <w:rFonts w:ascii="仿宋" w:hAnsi="仿宋" w:eastAsia="仿宋" w:cs="宋体"/>
                <w:sz w:val="24"/>
                <w:lang w:val="zh-CN"/>
              </w:rPr>
            </w:pPr>
            <w:r>
              <w:rPr>
                <w:rFonts w:hint="eastAsia" w:ascii="仿宋" w:hAnsi="仿宋" w:eastAsia="仿宋" w:cs="宋体"/>
                <w:sz w:val="24"/>
                <w:lang w:val="zh-CN"/>
              </w:rPr>
              <w:t>提供后续服务计划及根据投标人注册地等，方便、快捷、优质提供服务等情况</w:t>
            </w:r>
          </w:p>
          <w:p>
            <w:pPr>
              <w:jc w:val="left"/>
              <w:rPr>
                <w:rFonts w:ascii="仿宋" w:hAnsi="仿宋" w:eastAsia="仿宋" w:cs="宋体"/>
                <w:b/>
                <w:bCs/>
                <w:kern w:val="0"/>
                <w:sz w:val="24"/>
              </w:rPr>
            </w:pPr>
            <w:r>
              <w:rPr>
                <w:rFonts w:hint="eastAsia" w:ascii="仿宋" w:hAnsi="仿宋" w:eastAsia="仿宋" w:cs="宋体"/>
                <w:kern w:val="0"/>
                <w:sz w:val="24"/>
              </w:rPr>
              <w:t>方案可行条理清晰、内容丰富、安排合理3分，基本满足方案可行条理清晰、内容丰富、安排合理2分，不符合方案可行条理清晰、内容丰富、安排合理的1分。</w:t>
            </w:r>
          </w:p>
        </w:tc>
        <w:tc>
          <w:tcPr>
            <w:tcW w:w="1054" w:type="dxa"/>
            <w:vAlign w:val="center"/>
          </w:tcPr>
          <w:p>
            <w:pPr>
              <w:jc w:val="center"/>
              <w:rPr>
                <w:rFonts w:ascii="仿宋" w:hAnsi="仿宋" w:eastAsia="仿宋"/>
                <w:sz w:val="24"/>
              </w:rPr>
            </w:pPr>
            <w:r>
              <w:rPr>
                <w:rFonts w:hint="eastAsia" w:ascii="仿宋" w:hAnsi="仿宋" w:eastAsia="仿宋"/>
                <w:sz w:val="24"/>
              </w:rPr>
              <w:t>1-3分</w:t>
            </w:r>
          </w:p>
        </w:tc>
        <w:tc>
          <w:tcPr>
            <w:tcW w:w="963" w:type="dxa"/>
            <w:vAlign w:val="center"/>
          </w:tcPr>
          <w:p>
            <w:pPr>
              <w:jc w:val="center"/>
              <w:rPr>
                <w:rFonts w:ascii="仿宋" w:hAnsi="仿宋" w:eastAsia="仿宋"/>
                <w:sz w:val="24"/>
              </w:rPr>
            </w:pPr>
            <w:r>
              <w:rPr>
                <w:rFonts w:hint="eastAsia" w:ascii="仿宋" w:hAnsi="仿宋" w:eastAsia="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03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11</w:t>
            </w:r>
          </w:p>
        </w:tc>
        <w:tc>
          <w:tcPr>
            <w:tcW w:w="2697" w:type="dxa"/>
            <w:gridSpan w:val="2"/>
            <w:vAlign w:val="center"/>
          </w:tcPr>
          <w:p>
            <w:pPr>
              <w:jc w:val="left"/>
              <w:rPr>
                <w:rFonts w:ascii="仿宋" w:hAnsi="仿宋" w:eastAsia="仿宋" w:cs="宋体"/>
                <w:kern w:val="0"/>
                <w:sz w:val="24"/>
              </w:rPr>
            </w:pPr>
            <w:r>
              <w:rPr>
                <w:rFonts w:hint="eastAsia" w:ascii="仿宋" w:hAnsi="仿宋" w:eastAsia="仿宋" w:cs="宋体"/>
                <w:kern w:val="0"/>
                <w:sz w:val="24"/>
              </w:rPr>
              <w:t>安全保障措施（综合评定）</w:t>
            </w:r>
          </w:p>
        </w:tc>
        <w:tc>
          <w:tcPr>
            <w:tcW w:w="3859" w:type="dxa"/>
            <w:vAlign w:val="center"/>
          </w:tcPr>
          <w:p>
            <w:pPr>
              <w:jc w:val="left"/>
              <w:rPr>
                <w:rFonts w:ascii="仿宋" w:hAnsi="仿宋" w:eastAsia="仿宋" w:cs="宋体"/>
                <w:kern w:val="0"/>
                <w:sz w:val="24"/>
              </w:rPr>
            </w:pPr>
            <w:r>
              <w:rPr>
                <w:rFonts w:hint="eastAsia" w:ascii="仿宋" w:hAnsi="仿宋" w:eastAsia="仿宋" w:cs="宋体"/>
                <w:kern w:val="0"/>
                <w:sz w:val="24"/>
              </w:rPr>
              <w:t>投标人提供详细的突发事件处理方案、安防措施、投诉处理、纠纷处理方案</w:t>
            </w:r>
          </w:p>
          <w:p>
            <w:pPr>
              <w:jc w:val="left"/>
              <w:rPr>
                <w:rFonts w:ascii="仿宋" w:hAnsi="仿宋" w:eastAsia="仿宋" w:cs="宋体"/>
                <w:kern w:val="0"/>
                <w:sz w:val="24"/>
              </w:rPr>
            </w:pPr>
            <w:r>
              <w:rPr>
                <w:rFonts w:hint="eastAsia" w:ascii="仿宋" w:hAnsi="仿宋" w:eastAsia="仿宋" w:cs="宋体"/>
                <w:kern w:val="0"/>
                <w:sz w:val="24"/>
              </w:rPr>
              <w:t>方案可行条理清晰、内容丰富、安排合理6分，基本满足方案可行条理清晰、内容丰富、安排合理4分，不符合方案可行条理清晰、内容丰富、安排合理的2分。</w:t>
            </w:r>
          </w:p>
        </w:tc>
        <w:tc>
          <w:tcPr>
            <w:tcW w:w="1054" w:type="dxa"/>
            <w:vAlign w:val="center"/>
          </w:tcPr>
          <w:p>
            <w:pPr>
              <w:jc w:val="left"/>
              <w:rPr>
                <w:rFonts w:ascii="仿宋" w:hAnsi="仿宋" w:eastAsia="仿宋" w:cs="宋体"/>
                <w:kern w:val="0"/>
                <w:sz w:val="24"/>
              </w:rPr>
            </w:pPr>
            <w:r>
              <w:rPr>
                <w:rFonts w:hint="eastAsia" w:ascii="仿宋" w:hAnsi="仿宋" w:eastAsia="仿宋" w:cs="宋体"/>
                <w:kern w:val="0"/>
                <w:sz w:val="24"/>
              </w:rPr>
              <w:t>2-6分</w:t>
            </w:r>
          </w:p>
        </w:tc>
        <w:tc>
          <w:tcPr>
            <w:tcW w:w="963" w:type="dxa"/>
            <w:vAlign w:val="center"/>
          </w:tcPr>
          <w:p>
            <w:pPr>
              <w:jc w:val="left"/>
              <w:rPr>
                <w:rFonts w:ascii="仿宋" w:hAnsi="仿宋" w:eastAsia="仿宋" w:cs="宋体"/>
                <w:kern w:val="0"/>
                <w:sz w:val="24"/>
              </w:rPr>
            </w:pPr>
            <w:r>
              <w:rPr>
                <w:rFonts w:hint="eastAsia" w:ascii="仿宋" w:hAnsi="仿宋" w:eastAsia="仿宋" w:cs="宋体"/>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03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2697" w:type="dxa"/>
            <w:gridSpan w:val="2"/>
            <w:vAlign w:val="center"/>
          </w:tcPr>
          <w:p>
            <w:pPr>
              <w:jc w:val="left"/>
              <w:rPr>
                <w:rFonts w:ascii="仿宋" w:hAnsi="仿宋" w:eastAsia="仿宋" w:cs="宋体"/>
                <w:kern w:val="0"/>
                <w:sz w:val="24"/>
              </w:rPr>
            </w:pPr>
            <w:r>
              <w:rPr>
                <w:rFonts w:hint="eastAsia" w:ascii="仿宋" w:hAnsi="仿宋" w:eastAsia="仿宋" w:cs="宋体"/>
                <w:kern w:val="0"/>
                <w:sz w:val="24"/>
              </w:rPr>
              <w:t>增值服务（综合评定）</w:t>
            </w:r>
          </w:p>
        </w:tc>
        <w:tc>
          <w:tcPr>
            <w:tcW w:w="3859" w:type="dxa"/>
            <w:vAlign w:val="center"/>
          </w:tcPr>
          <w:p>
            <w:pPr>
              <w:jc w:val="left"/>
              <w:rPr>
                <w:rFonts w:ascii="仿宋" w:hAnsi="仿宋" w:eastAsia="仿宋" w:cs="宋体"/>
                <w:kern w:val="0"/>
                <w:sz w:val="24"/>
              </w:rPr>
            </w:pPr>
            <w:r>
              <w:rPr>
                <w:rFonts w:hint="eastAsia" w:ascii="仿宋" w:hAnsi="仿宋" w:eastAsia="仿宋" w:cs="宋体"/>
                <w:kern w:val="0"/>
                <w:sz w:val="24"/>
              </w:rPr>
              <w:t>增值（特色）服务、优惠措施等</w:t>
            </w:r>
          </w:p>
          <w:p>
            <w:pPr>
              <w:jc w:val="left"/>
              <w:rPr>
                <w:rFonts w:ascii="仿宋" w:hAnsi="仿宋" w:eastAsia="仿宋" w:cs="宋体"/>
                <w:kern w:val="0"/>
                <w:sz w:val="24"/>
              </w:rPr>
            </w:pPr>
            <w:r>
              <w:rPr>
                <w:rFonts w:hint="eastAsia" w:ascii="仿宋" w:hAnsi="仿宋" w:eastAsia="仿宋" w:cs="宋体"/>
                <w:kern w:val="0"/>
                <w:sz w:val="24"/>
              </w:rPr>
              <w:t>方案可行条理清晰、内容丰富、安排合理5分，基本满足方案可行条理清晰、内容丰富、安排合理5分，不符合方案可行条理清晰、内容丰富、安排合理的1分。</w:t>
            </w:r>
          </w:p>
        </w:tc>
        <w:tc>
          <w:tcPr>
            <w:tcW w:w="1054" w:type="dxa"/>
            <w:vAlign w:val="center"/>
          </w:tcPr>
          <w:p>
            <w:pPr>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5分</w:t>
            </w:r>
          </w:p>
        </w:tc>
        <w:tc>
          <w:tcPr>
            <w:tcW w:w="963" w:type="dxa"/>
            <w:vAlign w:val="center"/>
          </w:tcPr>
          <w:p>
            <w:pPr>
              <w:jc w:val="left"/>
              <w:rPr>
                <w:rFonts w:ascii="仿宋" w:hAnsi="仿宋" w:eastAsia="仿宋" w:cs="宋体"/>
                <w:kern w:val="0"/>
                <w:sz w:val="24"/>
              </w:rPr>
            </w:pPr>
            <w:r>
              <w:rPr>
                <w:rFonts w:hint="eastAsia" w:ascii="仿宋" w:hAnsi="仿宋" w:eastAsia="仿宋" w:cs="宋体"/>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8" w:hRule="atLeast"/>
          <w:jc w:val="center"/>
        </w:trPr>
        <w:tc>
          <w:tcPr>
            <w:tcW w:w="103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13</w:t>
            </w:r>
          </w:p>
        </w:tc>
        <w:tc>
          <w:tcPr>
            <w:tcW w:w="2697" w:type="dxa"/>
            <w:gridSpan w:val="2"/>
            <w:vAlign w:val="center"/>
          </w:tcPr>
          <w:p>
            <w:pPr>
              <w:jc w:val="left"/>
              <w:rPr>
                <w:rFonts w:ascii="仿宋" w:hAnsi="仿宋" w:eastAsia="仿宋" w:cs="宋体"/>
                <w:kern w:val="0"/>
                <w:sz w:val="24"/>
              </w:rPr>
            </w:pPr>
            <w:r>
              <w:rPr>
                <w:rFonts w:hint="eastAsia" w:ascii="仿宋" w:hAnsi="仿宋" w:eastAsia="仿宋" w:cs="宋体"/>
                <w:kern w:val="0"/>
                <w:sz w:val="24"/>
              </w:rPr>
              <w:t>旅行社责任险</w:t>
            </w:r>
          </w:p>
        </w:tc>
        <w:tc>
          <w:tcPr>
            <w:tcW w:w="3859" w:type="dxa"/>
            <w:vAlign w:val="center"/>
          </w:tcPr>
          <w:p>
            <w:pPr>
              <w:jc w:val="left"/>
              <w:rPr>
                <w:rFonts w:ascii="仿宋" w:hAnsi="仿宋" w:eastAsia="仿宋" w:cs="宋体"/>
                <w:sz w:val="24"/>
              </w:rPr>
            </w:pPr>
            <w:r>
              <w:rPr>
                <w:rFonts w:hint="eastAsia" w:ascii="仿宋" w:hAnsi="仿宋" w:eastAsia="仿宋" w:cs="宋体"/>
                <w:kern w:val="0"/>
                <w:sz w:val="24"/>
              </w:rPr>
              <w:t>每次事故累计责任限额2000万元及以上且每人责任限额200万元/人及以上得5分；每次事故累计责任限额2000万（不含）-1500万元（含）且每人责任限额200万元/人（不含）-150万元/人（含）得2分；每次事故累计责任限额1500（不含）-1000（含）万元且每人责任限额100万元/人（含）-150万元/人（不含）的得1分。每次事故累计责任限额低于1000万元，每人责任限额低于100万元/人的不得分。（投标文件中提供保单复印件，加盖公章。）</w:t>
            </w:r>
          </w:p>
        </w:tc>
        <w:tc>
          <w:tcPr>
            <w:tcW w:w="1054" w:type="dxa"/>
            <w:vAlign w:val="center"/>
          </w:tcPr>
          <w:p>
            <w:pPr>
              <w:jc w:val="center"/>
              <w:rPr>
                <w:rFonts w:ascii="仿宋" w:hAnsi="仿宋" w:eastAsia="仿宋"/>
                <w:sz w:val="24"/>
              </w:rPr>
            </w:pPr>
            <w:r>
              <w:rPr>
                <w:rFonts w:hint="eastAsia" w:ascii="仿宋" w:hAnsi="仿宋" w:eastAsia="仿宋"/>
                <w:sz w:val="24"/>
              </w:rPr>
              <w:t>0-5分</w:t>
            </w:r>
          </w:p>
        </w:tc>
        <w:tc>
          <w:tcPr>
            <w:tcW w:w="963" w:type="dxa"/>
            <w:vAlign w:val="center"/>
          </w:tcPr>
          <w:p>
            <w:pPr>
              <w:jc w:val="center"/>
              <w:rPr>
                <w:rFonts w:ascii="仿宋" w:hAnsi="仿宋" w:eastAsia="仿宋"/>
                <w:sz w:val="24"/>
              </w:rPr>
            </w:pPr>
            <w:r>
              <w:rPr>
                <w:rFonts w:hint="eastAsia" w:ascii="仿宋" w:hAnsi="仿宋" w:eastAsia="仿宋"/>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1030" w:type="dxa"/>
            <w:vAlign w:val="center"/>
          </w:tcPr>
          <w:p>
            <w:pPr>
              <w:widowControl/>
              <w:jc w:val="center"/>
              <w:rPr>
                <w:rFonts w:ascii="仿宋" w:hAnsi="仿宋" w:eastAsia="仿宋" w:cs="宋体"/>
                <w:kern w:val="0"/>
                <w:sz w:val="24"/>
              </w:rPr>
            </w:pPr>
            <w:bookmarkStart w:id="434" w:name="_GoBack" w:colFirst="1" w:colLast="3"/>
            <w:r>
              <w:rPr>
                <w:rFonts w:hint="eastAsia" w:ascii="仿宋" w:hAnsi="仿宋" w:eastAsia="仿宋" w:cs="宋体"/>
                <w:kern w:val="0"/>
                <w:sz w:val="24"/>
              </w:rPr>
              <w:t>14</w:t>
            </w:r>
          </w:p>
        </w:tc>
        <w:tc>
          <w:tcPr>
            <w:tcW w:w="2697" w:type="dxa"/>
            <w:gridSpan w:val="2"/>
            <w:vAlign w:val="center"/>
          </w:tcPr>
          <w:p>
            <w:pPr>
              <w:jc w:val="left"/>
              <w:rPr>
                <w:rFonts w:ascii="仿宋" w:hAnsi="仿宋" w:eastAsia="仿宋" w:cs="宋体"/>
                <w:kern w:val="0"/>
                <w:sz w:val="24"/>
              </w:rPr>
            </w:pPr>
            <w:r>
              <w:rPr>
                <w:rFonts w:hint="eastAsia" w:ascii="仿宋" w:hAnsi="仿宋" w:eastAsia="仿宋" w:cs="宋体"/>
                <w:kern w:val="0"/>
                <w:sz w:val="24"/>
              </w:rPr>
              <w:t>服务质量内容讲标</w:t>
            </w:r>
          </w:p>
        </w:tc>
        <w:tc>
          <w:tcPr>
            <w:tcW w:w="3859" w:type="dxa"/>
            <w:vAlign w:val="center"/>
          </w:tcPr>
          <w:p>
            <w:pPr>
              <w:jc w:val="left"/>
              <w:rPr>
                <w:rFonts w:ascii="仿宋" w:hAnsi="仿宋" w:eastAsia="仿宋" w:cs="宋体"/>
                <w:kern w:val="0"/>
                <w:sz w:val="24"/>
              </w:rPr>
            </w:pPr>
            <w:r>
              <w:rPr>
                <w:rFonts w:hint="eastAsia" w:ascii="仿宋" w:hAnsi="仿宋" w:eastAsia="仿宋" w:cs="宋体"/>
                <w:kern w:val="0"/>
                <w:sz w:val="24"/>
              </w:rPr>
              <w:t>针对本项目中的自身技术及服务优势、假定线路及酒店进行讲解，并接受评委提问，符合职工疗休养政策、有实际意义和可行性为标准，</w:t>
            </w:r>
            <w:r>
              <w:rPr>
                <w:rFonts w:hint="eastAsia" w:ascii="仿宋" w:hAnsi="仿宋" w:eastAsia="仿宋" w:cs="宋体"/>
                <w:kern w:val="0"/>
                <w:sz w:val="24"/>
                <w:lang w:val="zh-CN"/>
              </w:rPr>
              <w:t>由评委</w:t>
            </w:r>
            <w:r>
              <w:rPr>
                <w:rFonts w:hint="eastAsia" w:ascii="仿宋" w:hAnsi="仿宋" w:eastAsia="仿宋" w:cs="宋体"/>
                <w:kern w:val="0"/>
                <w:sz w:val="24"/>
              </w:rPr>
              <w:t>横向比较酌情评分。方案讲解时间不超过10分钟。</w:t>
            </w:r>
          </w:p>
          <w:p>
            <w:pPr>
              <w:jc w:val="left"/>
              <w:rPr>
                <w:rFonts w:ascii="仿宋" w:hAnsi="仿宋" w:eastAsia="仿宋" w:cs="宋体"/>
                <w:kern w:val="0"/>
                <w:sz w:val="24"/>
              </w:rPr>
            </w:pPr>
            <w:r>
              <w:rPr>
                <w:rFonts w:hint="eastAsia" w:ascii="仿宋" w:hAnsi="仿宋" w:eastAsia="仿宋" w:cs="宋体"/>
                <w:kern w:val="0"/>
                <w:sz w:val="24"/>
              </w:rPr>
              <w:t>假定终点：</w:t>
            </w:r>
          </w:p>
          <w:p>
            <w:pPr>
              <w:jc w:val="left"/>
              <w:rPr>
                <w:rFonts w:ascii="仿宋" w:hAnsi="仿宋" w:eastAsia="仿宋" w:cs="宋体"/>
                <w:kern w:val="0"/>
                <w:sz w:val="24"/>
              </w:rPr>
            </w:pPr>
            <w:r>
              <w:rPr>
                <w:rFonts w:hint="eastAsia" w:ascii="仿宋" w:hAnsi="仿宋" w:eastAsia="仿宋" w:cs="宋体"/>
                <w:kern w:val="0"/>
                <w:sz w:val="24"/>
              </w:rPr>
              <w:t>线路1-西安，线路2-康定，线路3-丽水，线路4-区内</w:t>
            </w:r>
          </w:p>
        </w:tc>
        <w:tc>
          <w:tcPr>
            <w:tcW w:w="1054" w:type="dxa"/>
            <w:vAlign w:val="center"/>
          </w:tcPr>
          <w:p>
            <w:pPr>
              <w:jc w:val="center"/>
              <w:rPr>
                <w:rFonts w:ascii="仿宋" w:hAnsi="仿宋" w:eastAsia="仿宋"/>
                <w:sz w:val="24"/>
              </w:rPr>
            </w:pPr>
            <w:r>
              <w:rPr>
                <w:rFonts w:hint="eastAsia" w:ascii="仿宋" w:hAnsi="仿宋" w:eastAsia="仿宋"/>
                <w:sz w:val="24"/>
              </w:rPr>
              <w:t>0-16分</w:t>
            </w:r>
          </w:p>
        </w:tc>
        <w:tc>
          <w:tcPr>
            <w:tcW w:w="963" w:type="dxa"/>
            <w:vAlign w:val="center"/>
          </w:tcPr>
          <w:p>
            <w:pPr>
              <w:jc w:val="center"/>
              <w:rPr>
                <w:rFonts w:ascii="仿宋" w:hAnsi="仿宋" w:eastAsia="仿宋"/>
                <w:kern w:val="0"/>
                <w:sz w:val="24"/>
              </w:rPr>
            </w:pPr>
            <w:r>
              <w:rPr>
                <w:rFonts w:hint="eastAsia" w:ascii="仿宋" w:hAnsi="仿宋" w:eastAsia="仿宋" w:cs="宋体"/>
                <w:kern w:val="0"/>
                <w:sz w:val="24"/>
              </w:rPr>
              <w:t>主观分</w:t>
            </w:r>
          </w:p>
        </w:tc>
      </w:tr>
      <w:bookmarkEnd w:id="434"/>
    </w:tbl>
    <w:p>
      <w:pPr>
        <w:pStyle w:val="41"/>
        <w:rPr>
          <w:rFonts w:ascii="仿宋" w:hAnsi="仿宋" w:eastAsia="仿宋" w:cs="仿宋"/>
        </w:rPr>
      </w:pPr>
    </w:p>
    <w:p>
      <w:pPr>
        <w:widowControl/>
        <w:spacing w:line="360" w:lineRule="auto"/>
        <w:rPr>
          <w:rFonts w:ascii="仿宋" w:hAnsi="仿宋" w:eastAsia="仿宋" w:cs="仿宋_GB2312"/>
          <w:sz w:val="24"/>
        </w:rPr>
      </w:pPr>
      <w:r>
        <w:rPr>
          <w:rFonts w:hint="eastAsia" w:ascii="仿宋" w:hAnsi="仿宋" w:eastAsia="仿宋" w:cs="仿宋_GB2312"/>
          <w:b/>
          <w:sz w:val="24"/>
        </w:rPr>
        <w:t>备注：</w:t>
      </w:r>
      <w:r>
        <w:rPr>
          <w:rFonts w:hint="eastAsia" w:ascii="仿宋" w:hAnsi="仿宋" w:eastAsia="仿宋" w:cs="仿宋_GB2312"/>
          <w:sz w:val="24"/>
        </w:rPr>
        <w:t>1、评分条款中涉及的业绩、荣誉、人员、社保等分公司均有效。</w:t>
      </w:r>
    </w:p>
    <w:p>
      <w:pPr>
        <w:widowControl/>
        <w:spacing w:line="360" w:lineRule="auto"/>
        <w:rPr>
          <w:rFonts w:ascii="仿宋" w:hAnsi="仿宋" w:eastAsia="仿宋" w:cs="仿宋_GB2312"/>
          <w:sz w:val="24"/>
        </w:rPr>
      </w:pPr>
      <w:r>
        <w:rPr>
          <w:rFonts w:hint="eastAsia" w:ascii="仿宋" w:hAnsi="仿宋" w:eastAsia="仿宋" w:cs="仿宋_GB2312"/>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rPr>
          <w:rFonts w:ascii="仿宋" w:hAnsi="仿宋" w:eastAsia="仿宋" w:cs="仿宋_GB2312"/>
          <w:sz w:val="24"/>
        </w:rPr>
      </w:pPr>
      <w:r>
        <w:rPr>
          <w:rFonts w:hint="eastAsia" w:ascii="仿宋" w:hAnsi="仿宋" w:eastAsia="仿宋" w:cs="仿宋_GB2312"/>
          <w:sz w:val="24"/>
        </w:rPr>
        <w:t>3、投标人编制投标文件（商务技术文件部分）时，建议按此目录（序号和内容）提供评标标准相应的商务技术资料。</w:t>
      </w:r>
      <w:r>
        <w:rPr>
          <w:rFonts w:ascii="仿宋" w:hAnsi="仿宋" w:eastAsia="仿宋" w:cs="仿宋_GB2312"/>
          <w:sz w:val="24"/>
        </w:rPr>
        <w:t> </w:t>
      </w:r>
    </w:p>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价格分（10分）</w:t>
      </w:r>
    </w:p>
    <w:tbl>
      <w:tblPr>
        <w:tblStyle w:val="61"/>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价格权值</w:t>
            </w:r>
          </w:p>
        </w:tc>
        <w:tc>
          <w:tcPr>
            <w:tcW w:w="65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价格权值</w:t>
            </w:r>
            <w:r>
              <w:rPr>
                <w:rFonts w:ascii="仿宋" w:hAnsi="仿宋" w:eastAsia="仿宋" w:cs="仿宋_GB2312"/>
                <w:sz w:val="24"/>
              </w:rPr>
              <w:t>=</w:t>
            </w:r>
            <w:r>
              <w:rPr>
                <w:rFonts w:hint="eastAsia" w:ascii="仿宋" w:hAnsi="仿宋" w:eastAsia="仿宋" w:cs="仿宋_GB2312"/>
                <w:sz w:val="24"/>
              </w:rPr>
              <w:t>0.10</w:t>
            </w:r>
          </w:p>
        </w:tc>
        <w:tc>
          <w:tcPr>
            <w:tcW w:w="65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最低有效投标价格为评标基准价</w:t>
            </w:r>
          </w:p>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投标报价得分</w:t>
            </w:r>
            <w:r>
              <w:rPr>
                <w:rFonts w:ascii="仿宋" w:hAnsi="仿宋" w:eastAsia="仿宋" w:cs="仿宋_GB2312"/>
                <w:sz w:val="24"/>
              </w:rPr>
              <w:t>=(</w:t>
            </w:r>
            <w:r>
              <w:rPr>
                <w:rFonts w:hint="eastAsia" w:ascii="仿宋" w:hAnsi="仿宋" w:eastAsia="仿宋" w:cs="仿宋_GB2312"/>
                <w:sz w:val="24"/>
              </w:rPr>
              <w:t>评标基准价／投标报价</w:t>
            </w:r>
            <w:r>
              <w:rPr>
                <w:rFonts w:ascii="仿宋" w:hAnsi="仿宋" w:eastAsia="仿宋" w:cs="仿宋_GB2312"/>
                <w:sz w:val="24"/>
              </w:rPr>
              <w:t>)</w:t>
            </w:r>
            <w:r>
              <w:rPr>
                <w:rFonts w:hint="eastAsia" w:ascii="仿宋" w:hAnsi="仿宋" w:eastAsia="仿宋" w:cs="仿宋_GB2312"/>
                <w:sz w:val="24"/>
              </w:rPr>
              <w:t>×价格权值×</w:t>
            </w:r>
            <w:r>
              <w:rPr>
                <w:rFonts w:ascii="仿宋" w:hAnsi="仿宋" w:eastAsia="仿宋" w:cs="仿宋_GB2312"/>
                <w:sz w:val="24"/>
              </w:rPr>
              <w:t xml:space="preserve">100 </w:t>
            </w:r>
          </w:p>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（计算得分保留小数点后</w:t>
            </w:r>
            <w:r>
              <w:rPr>
                <w:rFonts w:ascii="仿宋" w:hAnsi="仿宋" w:eastAsia="仿宋" w:cs="仿宋_GB2312"/>
                <w:sz w:val="24"/>
              </w:rPr>
              <w:t>2</w:t>
            </w:r>
            <w:r>
              <w:rPr>
                <w:rFonts w:hint="eastAsia" w:ascii="仿宋" w:hAnsi="仿宋" w:eastAsia="仿宋" w:cs="仿宋_GB2312"/>
                <w:sz w:val="24"/>
              </w:rPr>
              <w:t>位）</w:t>
            </w:r>
          </w:p>
        </w:tc>
      </w:tr>
    </w:tbl>
    <w:p>
      <w:pPr>
        <w:snapToGrid w:val="0"/>
        <w:spacing w:line="360" w:lineRule="auto"/>
        <w:rPr>
          <w:rFonts w:ascii="仿宋" w:hAnsi="仿宋" w:eastAsia="仿宋" w:cs="仿宋"/>
          <w:b/>
          <w:sz w:val="24"/>
        </w:rPr>
      </w:pPr>
    </w:p>
    <w:p>
      <w:pPr>
        <w:snapToGrid w:val="0"/>
        <w:spacing w:line="360" w:lineRule="auto"/>
        <w:rPr>
          <w:rFonts w:ascii="仿宋" w:hAnsi="仿宋" w:eastAsia="仿宋" w:cs="仿宋"/>
          <w:b/>
          <w:sz w:val="24"/>
        </w:rPr>
      </w:pPr>
      <w:r>
        <w:rPr>
          <w:rFonts w:hint="eastAsia" w:ascii="仿宋" w:hAnsi="仿宋" w:eastAsia="仿宋" w:cs="仿宋"/>
          <w:b/>
          <w:sz w:val="24"/>
        </w:rPr>
        <w:t>备注：</w:t>
      </w:r>
      <w:r>
        <w:rPr>
          <w:rFonts w:hint="eastAsia" w:ascii="仿宋" w:hAnsi="仿宋" w:eastAsia="仿宋" w:cs="仿宋"/>
          <w:sz w:val="24"/>
        </w:rPr>
        <w:t>供应商编制投标文件（商务技术文件部分）时，建议按此目录（序号和内容）提供评标标准相应的商务技术资料。</w:t>
      </w:r>
    </w:p>
    <w:p>
      <w:pPr>
        <w:widowControl/>
        <w:adjustRightInd/>
        <w:jc w:val="left"/>
        <w:rPr>
          <w:rFonts w:ascii="仿宋" w:hAnsi="仿宋" w:eastAsia="仿宋" w:cs="仿宋"/>
          <w:b/>
          <w:sz w:val="32"/>
        </w:rPr>
      </w:pPr>
      <w:r>
        <w:rPr>
          <w:rFonts w:hint="eastAsia" w:ascii="仿宋" w:hAnsi="仿宋" w:eastAsia="仿宋" w:cs="仿宋"/>
          <w:b/>
          <w:sz w:val="32"/>
        </w:rPr>
        <w:br w:type="page"/>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综合评分法，是指投标文件满足交易文件全部实质性要求，且按照评审因素的量化指标评审得分前五名的供应商为中标候选人的评标方法。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rPr>
          <w:rFonts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adjustRightInd/>
        <w:spacing w:line="360" w:lineRule="auto"/>
        <w:rPr>
          <w:rFonts w:ascii="仿宋" w:hAnsi="仿宋" w:eastAsia="仿宋" w:cs="仿宋"/>
          <w:b/>
          <w:sz w:val="32"/>
        </w:rPr>
      </w:pPr>
      <w:r>
        <w:rPr>
          <w:rFonts w:hint="eastAsia" w:ascii="仿宋" w:hAnsi="仿宋" w:eastAsia="仿宋" w:cs="仿宋"/>
          <w:b/>
          <w:sz w:val="32"/>
        </w:rPr>
        <w:t>三、评标程序</w:t>
      </w:r>
    </w:p>
    <w:p>
      <w:pPr>
        <w:spacing w:line="360" w:lineRule="auto"/>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评标委员会应当对符合资格的供应商的投标文件进行符合性审查，以确定其是否满足交易文件的实质性要求。不满足交易文件的实质性要求的，投标无效。</w:t>
      </w:r>
    </w:p>
    <w:p>
      <w:pPr>
        <w:spacing w:line="360" w:lineRule="auto"/>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评标委员会应当按照交易文件中规定的评标方法和标准，对符合性审查合格的投标文件进行商务和技术评估，综合比较与评价。</w:t>
      </w:r>
    </w:p>
    <w:p>
      <w:pPr>
        <w:spacing w:line="360" w:lineRule="auto"/>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评标委员会各成员应当独立对每个供应商的商务和技术文件进行评价，并汇总商务技术得分情况。</w:t>
      </w:r>
    </w:p>
    <w:p>
      <w:pPr>
        <w:spacing w:line="360" w:lineRule="auto"/>
        <w:rPr>
          <w:rFonts w:ascii="仿宋" w:hAnsi="仿宋" w:eastAsia="仿宋" w:cs="仿宋"/>
          <w:b/>
          <w:kern w:val="0"/>
          <w:sz w:val="24"/>
        </w:rPr>
      </w:pPr>
      <w:r>
        <w:rPr>
          <w:rFonts w:hint="eastAsia" w:ascii="仿宋" w:hAnsi="仿宋" w:eastAsia="仿宋" w:cs="仿宋"/>
          <w:b/>
          <w:kern w:val="0"/>
          <w:sz w:val="24"/>
        </w:rPr>
        <w:t>3.4报价评审。</w:t>
      </w:r>
    </w:p>
    <w:p>
      <w:pPr>
        <w:pStyle w:val="219"/>
        <w:spacing w:before="0"/>
        <w:ind w:firstLine="0" w:firstLineChars="0"/>
        <w:rPr>
          <w:rFonts w:ascii="仿宋" w:hAnsi="仿宋" w:eastAsia="仿宋" w:cs="仿宋"/>
          <w:b/>
          <w:kern w:val="0"/>
        </w:rPr>
      </w:pPr>
      <w:r>
        <w:rPr>
          <w:rFonts w:hint="eastAsia" w:ascii="仿宋" w:hAnsi="仿宋" w:eastAsia="仿宋" w:cs="仿宋"/>
          <w:b/>
          <w:kern w:val="0"/>
        </w:rPr>
        <w:t>3.4.1投标文件报价出现前后不一致的，按照下列规定修正：</w:t>
      </w:r>
    </w:p>
    <w:p>
      <w:pPr>
        <w:pStyle w:val="219"/>
        <w:spacing w:before="0"/>
        <w:ind w:firstLine="0" w:firstLineChars="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219"/>
        <w:spacing w:before="0"/>
        <w:ind w:firstLine="0" w:firstLineChars="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219"/>
        <w:spacing w:before="0"/>
        <w:ind w:firstLine="0" w:firstLineChars="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219"/>
        <w:spacing w:before="0"/>
        <w:ind w:firstLine="0" w:firstLineChars="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219"/>
        <w:spacing w:before="0"/>
        <w:ind w:firstLine="0" w:firstLineChars="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《政府采购货物和服务交易投标管理办法》第五十一条第二款的规定经供应商确认后产生约束力。</w:t>
      </w:r>
    </w:p>
    <w:p>
      <w:pPr>
        <w:snapToGrid w:val="0"/>
        <w:spacing w:line="360" w:lineRule="auto"/>
        <w:jc w:val="left"/>
        <w:rPr>
          <w:rFonts w:ascii="仿宋" w:hAnsi="仿宋" w:eastAsia="仿宋" w:cs="仿宋"/>
          <w:kern w:val="0"/>
          <w:sz w:val="24"/>
        </w:rPr>
      </w:pPr>
      <w:r>
        <w:rPr>
          <w:rFonts w:hint="eastAsia" w:ascii="仿宋" w:hAnsi="仿宋" w:eastAsia="仿宋" w:cs="仿宋"/>
          <w:b/>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jc w:val="left"/>
        <w:rPr>
          <w:rFonts w:ascii="仿宋" w:hAnsi="仿宋" w:eastAsia="仿宋" w:cs="仿宋"/>
          <w:kern w:val="0"/>
          <w:sz w:val="24"/>
        </w:rPr>
      </w:pPr>
      <w:r>
        <w:rPr>
          <w:rFonts w:hint="eastAsia" w:ascii="仿宋" w:hAnsi="仿宋" w:eastAsia="仿宋" w:cs="仿宋"/>
          <w:b/>
          <w:kern w:val="0"/>
          <w:sz w:val="24"/>
        </w:rPr>
        <w:t>3.4.3</w:t>
      </w:r>
      <w:r>
        <w:rPr>
          <w:rFonts w:hint="eastAsia" w:ascii="仿宋" w:hAnsi="仿宋" w:eastAsia="仿宋" w:cs="仿宋"/>
          <w:kern w:val="0"/>
          <w:sz w:val="24"/>
        </w:rPr>
        <w:t>投标报价超过交易文件中规定的预算金额或者最高限价的，投标无效。</w:t>
      </w:r>
    </w:p>
    <w:p>
      <w:pPr>
        <w:pStyle w:val="219"/>
        <w:spacing w:before="0"/>
        <w:ind w:firstLine="0" w:firstLineChars="0"/>
        <w:rPr>
          <w:rFonts w:ascii="仿宋" w:hAnsi="仿宋" w:eastAsia="仿宋" w:cs="仿宋"/>
          <w:kern w:val="0"/>
          <w:szCs w:val="24"/>
        </w:rPr>
      </w:pPr>
      <w:r>
        <w:rPr>
          <w:rFonts w:hint="eastAsia" w:ascii="仿宋" w:hAnsi="仿宋" w:eastAsia="仿宋" w:cs="仿宋"/>
          <w:b/>
          <w:kern w:val="0"/>
          <w:szCs w:val="24"/>
        </w:rPr>
        <w:t>3.4.4</w:t>
      </w:r>
      <w:r>
        <w:rPr>
          <w:rFonts w:hint="eastAsia" w:ascii="仿宋" w:hAnsi="仿宋" w:eastAsia="仿宋" w:cs="仿宋"/>
          <w:kern w:val="0"/>
          <w:szCs w:val="24"/>
        </w:rPr>
        <w:t>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投标处理。</w:t>
      </w:r>
    </w:p>
    <w:p>
      <w:pPr>
        <w:spacing w:line="360" w:lineRule="auto"/>
        <w:rPr>
          <w:rFonts w:ascii="仿宋" w:hAnsi="仿宋" w:eastAsia="仿宋" w:cs="仿宋"/>
          <w:kern w:val="0"/>
          <w:sz w:val="24"/>
        </w:rPr>
      </w:pPr>
      <w:r>
        <w:rPr>
          <w:rFonts w:hint="eastAsia" w:ascii="仿宋" w:hAnsi="仿宋" w:eastAsia="仿宋" w:cs="仿宋"/>
          <w:b/>
          <w:bCs/>
          <w:kern w:val="0"/>
          <w:sz w:val="24"/>
        </w:rPr>
        <w:t>3.5排序与推荐</w:t>
      </w:r>
      <w:r>
        <w:rPr>
          <w:rFonts w:hint="eastAsia" w:ascii="仿宋" w:hAnsi="仿宋" w:eastAsia="仿宋" w:cs="仿宋"/>
          <w:b/>
          <w:kern w:val="0"/>
          <w:sz w:val="24"/>
        </w:rPr>
        <w:t>。</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交易文件全部实质性要求，且按照评审因素的量化指标评审得分前五名的供应商为中标候选人。</w:t>
      </w:r>
    </w:p>
    <w:p>
      <w:pPr>
        <w:spacing w:line="360" w:lineRule="auto"/>
        <w:rPr>
          <w:rFonts w:ascii="仿宋" w:hAnsi="仿宋" w:eastAsia="仿宋" w:cs="仿宋"/>
          <w:kern w:val="0"/>
          <w:sz w:val="24"/>
        </w:rPr>
      </w:pPr>
      <w:r>
        <w:rPr>
          <w:rFonts w:hint="eastAsia" w:ascii="仿宋" w:hAnsi="仿宋" w:eastAsia="仿宋" w:cs="仿宋"/>
          <w:kern w:val="0"/>
          <w:sz w:val="24"/>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成交人推荐资格；评审得分相同的，采取随机抽取方式确定，其他同品牌供应商不作为中标候选人。</w:t>
      </w:r>
    </w:p>
    <w:p>
      <w:pPr>
        <w:widowControl/>
        <w:adjustRightInd/>
        <w:spacing w:before="100" w:beforeAutospacing="1" w:after="100" w:afterAutospacing="1" w:line="360" w:lineRule="auto"/>
        <w:jc w:val="left"/>
        <w:rPr>
          <w:rFonts w:ascii="仿宋" w:hAnsi="仿宋" w:eastAsia="仿宋" w:cs="仿宋"/>
          <w:kern w:val="0"/>
          <w:szCs w:val="21"/>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219"/>
        <w:spacing w:before="0"/>
        <w:ind w:firstLine="0" w:firstLineChars="0"/>
        <w:rPr>
          <w:rFonts w:ascii="仿宋" w:hAnsi="仿宋" w:eastAsia="仿宋" w:cs="仿宋"/>
          <w:kern w:val="0"/>
          <w:szCs w:val="24"/>
        </w:rPr>
      </w:pPr>
      <w:r>
        <w:rPr>
          <w:rFonts w:hint="eastAsia" w:ascii="仿宋" w:hAnsi="仿宋" w:eastAsia="仿宋" w:cs="仿宋"/>
          <w:b/>
          <w:bCs/>
          <w:kern w:val="0"/>
          <w:szCs w:val="21"/>
        </w:rPr>
        <w:t>4.1</w:t>
      </w:r>
      <w:r>
        <w:rPr>
          <w:rFonts w:hint="eastAsia" w:ascii="仿宋" w:hAnsi="仿宋" w:eastAsia="仿宋" w:cs="仿宋"/>
          <w:b/>
          <w:bCs/>
          <w:kern w:val="0"/>
          <w:szCs w:val="24"/>
        </w:rPr>
        <w:t>供应商澄清、说明或者补正。</w:t>
      </w:r>
      <w:r>
        <w:rPr>
          <w:rFonts w:hint="eastAsia" w:ascii="仿宋" w:hAnsi="仿宋" w:eastAsia="仿宋" w:cs="仿宋"/>
          <w:kern w:val="0"/>
          <w:szCs w:val="24"/>
        </w:rPr>
        <w:t>对于投标文件中含义不明确、同类问题表述不一致或者有明显文字和计算错误的内容需要供应商作出必要的澄清、说明或者补正的，评标委员会和供应商通过电子交易平台交换数据电文，供应商提交使用电子签章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pPr>
        <w:widowControl/>
        <w:adjustRightInd/>
        <w:spacing w:after="225" w:line="315" w:lineRule="atLeast"/>
        <w:jc w:val="left"/>
        <w:rPr>
          <w:rFonts w:ascii="仿宋" w:hAnsi="仿宋" w:eastAsia="仿宋" w:cs="仿宋"/>
          <w:kern w:val="0"/>
          <w:szCs w:val="21"/>
        </w:rPr>
      </w:pPr>
    </w:p>
    <w:p>
      <w:pPr>
        <w:pStyle w:val="24"/>
        <w:spacing w:line="360" w:lineRule="auto"/>
        <w:ind w:left="559" w:hanging="559" w:hangingChars="199"/>
        <w:rPr>
          <w:rFonts w:ascii="仿宋" w:hAnsi="仿宋" w:eastAsia="仿宋" w:cs="仿宋"/>
          <w:szCs w:val="21"/>
        </w:rPr>
      </w:pPr>
      <w:r>
        <w:rPr>
          <w:rFonts w:hint="eastAsia" w:ascii="仿宋" w:hAnsi="仿宋" w:eastAsia="仿宋" w:cs="仿宋"/>
          <w:b/>
          <w:spacing w:val="20"/>
        </w:rPr>
        <w:t>4.2投标无效。</w:t>
      </w:r>
      <w:r>
        <w:rPr>
          <w:rFonts w:hint="eastAsia" w:ascii="仿宋" w:hAnsi="仿宋" w:eastAsia="仿宋" w:cs="仿宋"/>
          <w:szCs w:val="21"/>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4.2.1供应商不具备交易文件中规定的资格要求的（供应商未提供有效的资格文件的，视为供应商不具备交易文件中规定的资格要求）；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4.2.2投标文件未按照交易文件要求签署、盖章的；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4.2.3采购人拟采购的产品属于政府强制采购的节能产品品目清单范围的，供应商未按交易文件要求提供国家确定的认证机构出具的、处于有效期之内的节能产品认证证书</w:t>
      </w:r>
      <w:r>
        <w:rPr>
          <w:rFonts w:hint="eastAsia" w:ascii="仿宋" w:hAnsi="仿宋" w:eastAsia="仿宋" w:cs="仿宋"/>
          <w:sz w:val="24"/>
        </w:rPr>
        <w:t>、环境标志产品认证证书</w:t>
      </w:r>
      <w:r>
        <w:rPr>
          <w:rFonts w:hint="eastAsia" w:ascii="仿宋" w:hAnsi="仿宋" w:eastAsia="仿宋" w:cs="仿宋"/>
          <w:kern w:val="0"/>
          <w:sz w:val="24"/>
        </w:rPr>
        <w:t>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4.2.5投标文件中承诺的投标有效期少于交易文件中载明的投标有效期的；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4.2.7投标报价超过交易文件中规定的预算金额或者最高限价的;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4.2.9供应商对根据修正原则修正后的报价不确认的；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4.2.10供应商提供虚假材料投标的；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4.2.11供应商有恶意串通、妨碍其他供应商的竞争行为、损害采购人或者其他供应商的合法权益情形的；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4.2.12供应商仅提交备份投标文件，没有在电子交易平台传输递交投标文件的，投标无效；</w:t>
      </w:r>
    </w:p>
    <w:p>
      <w:pPr>
        <w:pStyle w:val="5"/>
        <w:numPr>
          <w:ilvl w:val="0"/>
          <w:numId w:val="0"/>
        </w:numPr>
        <w:ind w:firstLine="480" w:firstLineChars="200"/>
        <w:rPr>
          <w:rFonts w:ascii="仿宋" w:eastAsia="仿宋" w:cs="仿宋"/>
          <w:b w:val="0"/>
          <w:bCs w:val="0"/>
          <w:kern w:val="0"/>
          <w:sz w:val="24"/>
          <w:szCs w:val="24"/>
          <w:lang w:val="en-US"/>
        </w:rPr>
      </w:pPr>
      <w:r>
        <w:rPr>
          <w:rFonts w:hint="eastAsia" w:ascii="仿宋" w:eastAsia="仿宋" w:cs="仿宋"/>
          <w:b w:val="0"/>
          <w:bCs w:val="0"/>
          <w:kern w:val="0"/>
          <w:sz w:val="24"/>
          <w:szCs w:val="24"/>
          <w:lang w:val="en-US"/>
        </w:rPr>
        <w:t>4.2.13 投标文件不满足交易文件的其它实质性要求的；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4"/>
        <w:snapToGrid w:val="0"/>
        <w:spacing w:line="360" w:lineRule="auto"/>
        <w:ind w:firstLine="0" w:firstLineChars="0"/>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4"/>
        <w:snapToGrid w:val="0"/>
        <w:spacing w:line="360" w:lineRule="auto"/>
        <w:rPr>
          <w:rFonts w:ascii="仿宋" w:hAnsi="仿宋" w:eastAsia="仿宋" w:cs="仿宋"/>
        </w:rPr>
      </w:pPr>
      <w:r>
        <w:rPr>
          <w:rFonts w:hint="eastAsia" w:ascii="仿宋" w:hAnsi="仿宋" w:eastAsia="仿宋" w:cs="仿宋"/>
        </w:rPr>
        <w:t>5.1符合专业条件的供应商或者对交易文件作实质响应的供应商不足3家的；</w:t>
      </w:r>
    </w:p>
    <w:p>
      <w:pPr>
        <w:pStyle w:val="24"/>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4"/>
        <w:snapToGrid w:val="0"/>
        <w:spacing w:line="360" w:lineRule="auto"/>
        <w:rPr>
          <w:rFonts w:ascii="仿宋" w:hAnsi="仿宋" w:eastAsia="仿宋" w:cs="仿宋"/>
        </w:rPr>
      </w:pPr>
      <w:r>
        <w:rPr>
          <w:rFonts w:hint="eastAsia" w:ascii="仿宋" w:hAnsi="仿宋" w:eastAsia="仿宋" w:cs="仿宋"/>
        </w:rPr>
        <w:t>5.3供应商的报价均超过了采购预算，采购人不能支付的；</w:t>
      </w:r>
    </w:p>
    <w:p>
      <w:pPr>
        <w:pStyle w:val="24"/>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4"/>
        <w:snapToGrid w:val="0"/>
        <w:spacing w:line="360" w:lineRule="auto"/>
        <w:rPr>
          <w:rFonts w:ascii="仿宋" w:hAnsi="仿宋" w:eastAsia="仿宋" w:cs="仿宋"/>
        </w:rPr>
      </w:pPr>
      <w:r>
        <w:rPr>
          <w:rFonts w:hint="eastAsia" w:ascii="仿宋" w:hAnsi="仿宋" w:eastAsia="仿宋" w:cs="仿宋"/>
        </w:rPr>
        <w:t>废标后，采购机构应当将废标理由通知所有供应商。</w:t>
      </w:r>
    </w:p>
    <w:p>
      <w:pPr>
        <w:pStyle w:val="24"/>
        <w:snapToGrid w:val="0"/>
        <w:spacing w:line="360" w:lineRule="auto"/>
        <w:ind w:firstLine="118" w:firstLineChars="49"/>
        <w:rPr>
          <w:rFonts w:ascii="仿宋" w:hAnsi="仿宋" w:eastAsia="仿宋" w:cs="仿宋"/>
        </w:rPr>
      </w:pPr>
      <w:r>
        <w:rPr>
          <w:rFonts w:hint="eastAsia" w:ascii="仿宋" w:hAnsi="仿宋" w:eastAsia="仿宋" w:cs="仿宋"/>
          <w:b/>
        </w:rPr>
        <w:t>6.修改交易文件，重新组织采购活动。</w:t>
      </w:r>
      <w:r>
        <w:rPr>
          <w:rFonts w:hint="eastAsia" w:ascii="仿宋" w:hAnsi="仿宋" w:eastAsia="仿宋" w:cs="仿宋"/>
        </w:rPr>
        <w:t>评标委员会发现交易文件存在歧义、重大缺陷导致评标工作无法进行，或者交易文件内容违反国家有关强制性规定的，将停止评标工作，并与采购人、采购机构沟通并作书面记录。采购人、采购机构确认后，将修改交易文件，重新组织采购活动。</w:t>
      </w:r>
    </w:p>
    <w:p>
      <w:pPr>
        <w:pStyle w:val="24"/>
        <w:snapToGrid w:val="0"/>
        <w:spacing w:line="360" w:lineRule="auto"/>
        <w:ind w:firstLine="118" w:firstLineChars="49"/>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4"/>
        <w:snapToGrid w:val="0"/>
        <w:spacing w:line="360" w:lineRule="auto"/>
        <w:rPr>
          <w:rFonts w:ascii="仿宋" w:hAnsi="仿宋" w:eastAsia="仿宋" w:cs="仿宋"/>
        </w:rPr>
      </w:pPr>
      <w:r>
        <w:rPr>
          <w:rFonts w:hint="eastAsia" w:ascii="仿宋" w:hAnsi="仿宋" w:eastAsia="仿宋" w:cs="仿宋"/>
        </w:rPr>
        <w:t>7.1未确定中标或者成交人的，终止本次政府采购活动，重新开展政府采购活动。</w:t>
      </w:r>
    </w:p>
    <w:p>
      <w:pPr>
        <w:pStyle w:val="24"/>
        <w:snapToGrid w:val="0"/>
        <w:spacing w:line="360" w:lineRule="auto"/>
        <w:rPr>
          <w:rFonts w:ascii="仿宋" w:hAnsi="仿宋" w:eastAsia="仿宋" w:cs="仿宋"/>
        </w:rPr>
      </w:pPr>
      <w:r>
        <w:rPr>
          <w:rFonts w:hint="eastAsia" w:ascii="仿宋" w:hAnsi="仿宋" w:eastAsia="仿宋" w:cs="仿宋"/>
        </w:rPr>
        <w:t>7.2已确定中标或者成交人但尚未签订政府采购合同的，中标或者成交结果无效，从合格的中标或者成交候选人中另行确定中标或者成交人；没有合格的中标或者成交候选人的，重新开展政府采购活动。</w:t>
      </w:r>
    </w:p>
    <w:p>
      <w:pPr>
        <w:pStyle w:val="24"/>
        <w:snapToGrid w:val="0"/>
        <w:spacing w:line="360" w:lineRule="auto"/>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7.3政府采购合同已签订但尚未履行的，撤销合同，从合格的中标或者成交候选人中另行确定中标或者成交人；没有合格的中标或者成交候选人的，重新开展政府采购活动。</w:t>
      </w:r>
    </w:p>
    <w:p>
      <w:pPr>
        <w:pStyle w:val="24"/>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4"/>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widowControl/>
        <w:spacing w:line="360" w:lineRule="auto"/>
        <w:ind w:firstLine="480" w:firstLineChars="200"/>
        <w:rPr>
          <w:rFonts w:ascii="仿宋" w:hAnsi="仿宋" w:eastAsia="仿宋" w:cs="仿宋"/>
          <w:sz w:val="24"/>
        </w:rPr>
      </w:pPr>
    </w:p>
    <w:p>
      <w:pPr>
        <w:pStyle w:val="4"/>
        <w:rPr>
          <w:rFonts w:cs="仿宋"/>
          <w:color w:val="auto"/>
        </w:rPr>
      </w:pPr>
      <w:r>
        <w:rPr>
          <w:rFonts w:hint="eastAsia" w:cs="仿宋"/>
          <w:color w:val="auto"/>
          <w:sz w:val="24"/>
        </w:rPr>
        <w:br w:type="page"/>
      </w:r>
      <w:r>
        <w:rPr>
          <w:rFonts w:hint="eastAsia" w:cs="仿宋"/>
          <w:color w:val="auto"/>
        </w:rPr>
        <w:t>第五部分</w:t>
      </w:r>
      <w:bookmarkEnd w:id="60"/>
      <w:r>
        <w:rPr>
          <w:rFonts w:hint="eastAsia" w:cs="仿宋"/>
          <w:color w:val="auto"/>
        </w:rPr>
        <w:t xml:space="preserve"> 拟签订的合同文本</w:t>
      </w:r>
    </w:p>
    <w:p>
      <w:pPr>
        <w:pStyle w:val="24"/>
        <w:snapToGrid w:val="0"/>
        <w:spacing w:line="360" w:lineRule="auto"/>
        <w:jc w:val="center"/>
        <w:rPr>
          <w:rFonts w:ascii="仿宋" w:hAnsi="仿宋" w:eastAsia="仿宋" w:cs="仿宋"/>
        </w:rPr>
      </w:pPr>
      <w:bookmarkStart w:id="427" w:name="第五部分"/>
      <w:bookmarkStart w:id="428" w:name="_Toc86217003"/>
      <w:r>
        <w:rPr>
          <w:rFonts w:hint="eastAsia" w:ascii="仿宋" w:hAnsi="仿宋" w:eastAsia="仿宋" w:cs="仿宋"/>
        </w:rPr>
        <w:t>（服务类参考样本,具体以交易人实际合同为准）</w:t>
      </w:r>
    </w:p>
    <w:p>
      <w:pPr>
        <w:pStyle w:val="24"/>
        <w:snapToGrid w:val="0"/>
        <w:spacing w:line="360" w:lineRule="auto"/>
        <w:rPr>
          <w:rFonts w:ascii="仿宋" w:hAnsi="仿宋" w:eastAsia="仿宋" w:cs="仿宋"/>
        </w:rPr>
      </w:pPr>
      <w:r>
        <w:rPr>
          <w:rFonts w:hint="eastAsia" w:ascii="仿宋" w:hAnsi="仿宋" w:eastAsia="仿宋" w:cs="仿宋"/>
        </w:rPr>
        <w:t>合同编号：</w:t>
      </w:r>
    </w:p>
    <w:p>
      <w:pPr>
        <w:pStyle w:val="24"/>
        <w:snapToGrid w:val="0"/>
        <w:spacing w:line="360" w:lineRule="auto"/>
        <w:rPr>
          <w:rFonts w:ascii="仿宋" w:hAnsi="仿宋" w:eastAsia="仿宋" w:cs="仿宋"/>
        </w:rPr>
      </w:pPr>
      <w:r>
        <w:rPr>
          <w:rFonts w:hint="eastAsia" w:ascii="仿宋" w:hAnsi="仿宋" w:eastAsia="仿宋" w:cs="仿宋"/>
        </w:rPr>
        <w:t>签订地点：                                 签订时间：202</w:t>
      </w:r>
      <w:r>
        <w:rPr>
          <w:rFonts w:hint="eastAsia" w:ascii="仿宋" w:hAnsi="仿宋" w:eastAsia="仿宋" w:cs="仿宋"/>
          <w:b/>
          <w:bCs/>
          <w:strike/>
        </w:rPr>
        <w:t>2</w:t>
      </w:r>
      <w:r>
        <w:rPr>
          <w:rFonts w:hint="eastAsia" w:ascii="仿宋" w:hAnsi="仿宋" w:eastAsia="仿宋" w:cs="仿宋"/>
        </w:rPr>
        <w:t>3年  月  日</w:t>
      </w:r>
    </w:p>
    <w:p>
      <w:pPr>
        <w:pStyle w:val="24"/>
        <w:snapToGrid w:val="0"/>
        <w:spacing w:line="360" w:lineRule="auto"/>
        <w:rPr>
          <w:rFonts w:ascii="仿宋" w:hAnsi="仿宋" w:eastAsia="仿宋" w:cs="仿宋"/>
        </w:rPr>
      </w:pPr>
      <w:r>
        <w:rPr>
          <w:rFonts w:hint="eastAsia" w:ascii="仿宋" w:hAnsi="仿宋" w:eastAsia="仿宋" w:cs="仿宋"/>
        </w:rPr>
        <w:t>项目名称：</w:t>
      </w:r>
    </w:p>
    <w:p>
      <w:pPr>
        <w:pStyle w:val="24"/>
        <w:snapToGrid w:val="0"/>
        <w:spacing w:line="360" w:lineRule="auto"/>
        <w:rPr>
          <w:rFonts w:ascii="仿宋" w:hAnsi="仿宋" w:eastAsia="仿宋" w:cs="仿宋"/>
        </w:rPr>
      </w:pPr>
      <w:r>
        <w:rPr>
          <w:rFonts w:hint="eastAsia" w:ascii="仿宋" w:hAnsi="仿宋" w:eastAsia="仿宋" w:cs="仿宋"/>
        </w:rPr>
        <w:t xml:space="preserve">甲方（需方）：                                     </w:t>
      </w:r>
    </w:p>
    <w:p>
      <w:pPr>
        <w:pStyle w:val="24"/>
        <w:snapToGrid w:val="0"/>
        <w:spacing w:line="360" w:lineRule="auto"/>
        <w:rPr>
          <w:rFonts w:ascii="仿宋" w:hAnsi="仿宋" w:eastAsia="仿宋" w:cs="仿宋"/>
        </w:rPr>
      </w:pPr>
      <w:r>
        <w:rPr>
          <w:rFonts w:hint="eastAsia" w:ascii="仿宋" w:hAnsi="仿宋" w:eastAsia="仿宋" w:cs="仿宋"/>
        </w:rPr>
        <w:t xml:space="preserve">乙方（供方）：                                     </w:t>
      </w:r>
    </w:p>
    <w:p>
      <w:pPr>
        <w:pStyle w:val="24"/>
        <w:snapToGrid w:val="0"/>
        <w:spacing w:line="360" w:lineRule="auto"/>
        <w:rPr>
          <w:rFonts w:ascii="仿宋" w:hAnsi="仿宋" w:eastAsia="仿宋" w:cs="仿宋"/>
        </w:rPr>
      </w:pPr>
      <w:r>
        <w:rPr>
          <w:rFonts w:hint="eastAsia" w:ascii="仿宋" w:hAnsi="仿宋" w:eastAsia="仿宋" w:cs="仿宋"/>
        </w:rPr>
        <w:t>供、需双方根据杭州市萧山区                             项目（交易编号-  -  -   ）交易结果和交易文件的要求，并经双方协调一致，订立本采购合同。</w:t>
      </w:r>
    </w:p>
    <w:p>
      <w:pPr>
        <w:pStyle w:val="24"/>
        <w:snapToGrid w:val="0"/>
        <w:spacing w:line="360" w:lineRule="auto"/>
        <w:rPr>
          <w:rFonts w:ascii="仿宋" w:hAnsi="仿宋" w:eastAsia="仿宋" w:cs="仿宋"/>
        </w:rPr>
      </w:pPr>
      <w:r>
        <w:rPr>
          <w:rFonts w:hint="eastAsia" w:ascii="仿宋" w:hAnsi="仿宋" w:eastAsia="仿宋" w:cs="仿宋"/>
        </w:rPr>
        <w:t>一、合同文件：</w:t>
      </w:r>
    </w:p>
    <w:p>
      <w:pPr>
        <w:pStyle w:val="24"/>
        <w:snapToGrid w:val="0"/>
        <w:spacing w:line="360" w:lineRule="auto"/>
        <w:rPr>
          <w:rFonts w:ascii="仿宋" w:hAnsi="仿宋" w:eastAsia="仿宋" w:cs="仿宋"/>
        </w:rPr>
      </w:pPr>
      <w:r>
        <w:rPr>
          <w:rFonts w:hint="eastAsia" w:ascii="仿宋" w:hAnsi="仿宋" w:eastAsia="仿宋" w:cs="仿宋"/>
        </w:rPr>
        <w:t>1、合同条款。</w:t>
      </w:r>
    </w:p>
    <w:p>
      <w:pPr>
        <w:pStyle w:val="24"/>
        <w:snapToGrid w:val="0"/>
        <w:spacing w:line="360" w:lineRule="auto"/>
        <w:rPr>
          <w:rFonts w:ascii="仿宋" w:hAnsi="仿宋" w:eastAsia="仿宋" w:cs="仿宋"/>
        </w:rPr>
      </w:pPr>
      <w:r>
        <w:rPr>
          <w:rFonts w:hint="eastAsia" w:ascii="仿宋" w:hAnsi="仿宋" w:eastAsia="仿宋" w:cs="仿宋"/>
        </w:rPr>
        <w:t>2、中标通知书。</w:t>
      </w:r>
    </w:p>
    <w:p>
      <w:pPr>
        <w:pStyle w:val="24"/>
        <w:snapToGrid w:val="0"/>
        <w:spacing w:line="360" w:lineRule="auto"/>
        <w:rPr>
          <w:rFonts w:ascii="仿宋" w:hAnsi="仿宋" w:eastAsia="仿宋" w:cs="仿宋"/>
        </w:rPr>
      </w:pPr>
      <w:r>
        <w:rPr>
          <w:rFonts w:hint="eastAsia" w:ascii="仿宋" w:hAnsi="仿宋" w:eastAsia="仿宋" w:cs="仿宋"/>
        </w:rPr>
        <w:t>3、交易文件。</w:t>
      </w:r>
    </w:p>
    <w:p>
      <w:pPr>
        <w:pStyle w:val="24"/>
        <w:snapToGrid w:val="0"/>
        <w:spacing w:line="360" w:lineRule="auto"/>
        <w:rPr>
          <w:rFonts w:ascii="仿宋" w:hAnsi="仿宋" w:eastAsia="仿宋" w:cs="仿宋"/>
        </w:rPr>
      </w:pPr>
      <w:r>
        <w:rPr>
          <w:rFonts w:hint="eastAsia" w:ascii="仿宋" w:hAnsi="仿宋" w:eastAsia="仿宋" w:cs="仿宋"/>
        </w:rPr>
        <w:t>4、更正公告。</w:t>
      </w:r>
    </w:p>
    <w:p>
      <w:pPr>
        <w:pStyle w:val="24"/>
        <w:snapToGrid w:val="0"/>
        <w:spacing w:line="360" w:lineRule="auto"/>
        <w:rPr>
          <w:rFonts w:ascii="仿宋" w:hAnsi="仿宋" w:eastAsia="仿宋" w:cs="仿宋"/>
        </w:rPr>
      </w:pPr>
      <w:r>
        <w:rPr>
          <w:rFonts w:hint="eastAsia" w:ascii="仿宋" w:hAnsi="仿宋" w:eastAsia="仿宋" w:cs="仿宋"/>
        </w:rPr>
        <w:t>5、中标单位投标文件。</w:t>
      </w:r>
    </w:p>
    <w:p>
      <w:pPr>
        <w:pStyle w:val="24"/>
        <w:snapToGrid w:val="0"/>
        <w:spacing w:line="360" w:lineRule="auto"/>
        <w:rPr>
          <w:rFonts w:ascii="仿宋" w:hAnsi="仿宋" w:eastAsia="仿宋" w:cs="仿宋"/>
        </w:rPr>
      </w:pPr>
      <w:r>
        <w:rPr>
          <w:rFonts w:hint="eastAsia" w:ascii="仿宋" w:hAnsi="仿宋" w:eastAsia="仿宋" w:cs="仿宋"/>
        </w:rPr>
        <w:t>6、其他。</w:t>
      </w:r>
    </w:p>
    <w:p>
      <w:pPr>
        <w:pStyle w:val="24"/>
        <w:snapToGrid w:val="0"/>
        <w:spacing w:line="360" w:lineRule="auto"/>
        <w:rPr>
          <w:rFonts w:ascii="仿宋" w:hAnsi="仿宋" w:eastAsia="仿宋" w:cs="仿宋"/>
        </w:rPr>
      </w:pPr>
      <w:r>
        <w:rPr>
          <w:rFonts w:hint="eastAsia" w:ascii="仿宋" w:hAnsi="仿宋" w:eastAsia="仿宋" w:cs="仿宋"/>
        </w:rPr>
        <w:t>二、合同金额: 本合同金额为(大写)_________________元（￥　　　　元）人民币附：《采购项目清单内容》</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945" w:type="dxa"/>
            <w:vAlign w:val="center"/>
          </w:tcPr>
          <w:p>
            <w:pPr>
              <w:pStyle w:val="24"/>
              <w:snapToGrid w:val="0"/>
              <w:spacing w:line="360" w:lineRule="auto"/>
              <w:ind w:firstLine="0" w:firstLineChars="0"/>
              <w:rPr>
                <w:rFonts w:ascii="仿宋" w:hAnsi="仿宋" w:eastAsia="仿宋" w:cs="仿宋"/>
              </w:rPr>
            </w:pPr>
            <w:r>
              <w:rPr>
                <w:rFonts w:hint="eastAsia" w:ascii="仿宋" w:hAnsi="仿宋" w:eastAsia="仿宋" w:cs="仿宋"/>
              </w:rPr>
              <w:t>序号</w:t>
            </w:r>
          </w:p>
        </w:tc>
        <w:tc>
          <w:tcPr>
            <w:tcW w:w="1692" w:type="dxa"/>
            <w:vAlign w:val="center"/>
          </w:tcPr>
          <w:p>
            <w:pPr>
              <w:pStyle w:val="24"/>
              <w:snapToGrid w:val="0"/>
              <w:spacing w:line="360" w:lineRule="auto"/>
              <w:rPr>
                <w:rFonts w:ascii="仿宋" w:hAnsi="仿宋" w:eastAsia="仿宋" w:cs="仿宋"/>
              </w:rPr>
            </w:pPr>
            <w:r>
              <w:rPr>
                <w:rFonts w:hint="eastAsia" w:ascii="仿宋" w:hAnsi="仿宋" w:eastAsia="仿宋" w:cs="仿宋"/>
              </w:rPr>
              <w:t>采购项目</w:t>
            </w:r>
          </w:p>
        </w:tc>
        <w:tc>
          <w:tcPr>
            <w:tcW w:w="1800" w:type="dxa"/>
            <w:vAlign w:val="center"/>
          </w:tcPr>
          <w:p>
            <w:pPr>
              <w:pStyle w:val="24"/>
              <w:snapToGrid w:val="0"/>
              <w:spacing w:line="360" w:lineRule="auto"/>
              <w:rPr>
                <w:rFonts w:ascii="仿宋" w:hAnsi="仿宋" w:eastAsia="仿宋" w:cs="仿宋"/>
              </w:rPr>
            </w:pPr>
            <w:r>
              <w:rPr>
                <w:rFonts w:hint="eastAsia" w:ascii="仿宋" w:hAnsi="仿宋" w:eastAsia="仿宋" w:cs="仿宋"/>
              </w:rPr>
              <w:t>中标内容</w:t>
            </w:r>
          </w:p>
        </w:tc>
        <w:tc>
          <w:tcPr>
            <w:tcW w:w="1758" w:type="dxa"/>
            <w:vAlign w:val="center"/>
          </w:tcPr>
          <w:p>
            <w:pPr>
              <w:pStyle w:val="24"/>
              <w:snapToGrid w:val="0"/>
              <w:spacing w:line="360" w:lineRule="auto"/>
              <w:ind w:firstLine="0" w:firstLineChars="0"/>
              <w:rPr>
                <w:rFonts w:ascii="仿宋" w:hAnsi="仿宋" w:eastAsia="仿宋" w:cs="仿宋"/>
              </w:rPr>
            </w:pPr>
            <w:r>
              <w:rPr>
                <w:rFonts w:hint="eastAsia" w:ascii="仿宋" w:hAnsi="仿宋" w:eastAsia="仿宋" w:cs="仿宋"/>
              </w:rPr>
              <w:t>中标单价（元）</w:t>
            </w:r>
          </w:p>
        </w:tc>
        <w:tc>
          <w:tcPr>
            <w:tcW w:w="762" w:type="dxa"/>
            <w:vAlign w:val="center"/>
          </w:tcPr>
          <w:p>
            <w:pPr>
              <w:pStyle w:val="24"/>
              <w:snapToGrid w:val="0"/>
              <w:spacing w:line="360" w:lineRule="auto"/>
              <w:ind w:firstLine="0" w:firstLineChars="0"/>
              <w:rPr>
                <w:rFonts w:ascii="仿宋" w:hAnsi="仿宋" w:eastAsia="仿宋" w:cs="仿宋"/>
              </w:rPr>
            </w:pPr>
            <w:r>
              <w:rPr>
                <w:rFonts w:hint="eastAsia" w:ascii="仿宋" w:hAnsi="仿宋" w:eastAsia="仿宋" w:cs="仿宋"/>
              </w:rPr>
              <w:t>数量</w:t>
            </w:r>
          </w:p>
        </w:tc>
        <w:tc>
          <w:tcPr>
            <w:tcW w:w="1867" w:type="dxa"/>
            <w:vAlign w:val="center"/>
          </w:tcPr>
          <w:p>
            <w:pPr>
              <w:pStyle w:val="24"/>
              <w:snapToGrid w:val="0"/>
              <w:spacing w:line="360" w:lineRule="auto"/>
              <w:ind w:firstLine="0" w:firstLineChars="0"/>
              <w:rPr>
                <w:rFonts w:ascii="仿宋" w:hAnsi="仿宋" w:eastAsia="仿宋" w:cs="仿宋"/>
              </w:rPr>
            </w:pPr>
            <w:r>
              <w:rPr>
                <w:rFonts w:hint="eastAsia" w:ascii="仿宋" w:hAnsi="仿宋" w:eastAsia="仿宋" w:cs="仿宋"/>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vAlign w:val="center"/>
          </w:tcPr>
          <w:p>
            <w:pPr>
              <w:pStyle w:val="24"/>
              <w:snapToGrid w:val="0"/>
              <w:spacing w:line="360" w:lineRule="auto"/>
              <w:rPr>
                <w:rFonts w:ascii="仿宋" w:hAnsi="仿宋" w:eastAsia="仿宋" w:cs="仿宋"/>
              </w:rPr>
            </w:pPr>
            <w:r>
              <w:rPr>
                <w:rFonts w:hint="eastAsia" w:ascii="仿宋" w:hAnsi="仿宋" w:eastAsia="仿宋" w:cs="仿宋"/>
              </w:rPr>
              <w:t>1</w:t>
            </w:r>
          </w:p>
        </w:tc>
        <w:tc>
          <w:tcPr>
            <w:tcW w:w="1692" w:type="dxa"/>
            <w:vAlign w:val="center"/>
          </w:tcPr>
          <w:p>
            <w:pPr>
              <w:pStyle w:val="24"/>
              <w:snapToGrid w:val="0"/>
              <w:spacing w:line="360" w:lineRule="auto"/>
              <w:rPr>
                <w:rFonts w:ascii="仿宋" w:hAnsi="仿宋" w:eastAsia="仿宋" w:cs="仿宋"/>
              </w:rPr>
            </w:pPr>
          </w:p>
        </w:tc>
        <w:tc>
          <w:tcPr>
            <w:tcW w:w="1800" w:type="dxa"/>
            <w:vAlign w:val="center"/>
          </w:tcPr>
          <w:p>
            <w:pPr>
              <w:pStyle w:val="24"/>
              <w:snapToGrid w:val="0"/>
              <w:spacing w:line="360" w:lineRule="auto"/>
              <w:rPr>
                <w:rFonts w:ascii="仿宋" w:hAnsi="仿宋" w:eastAsia="仿宋" w:cs="仿宋"/>
              </w:rPr>
            </w:pPr>
          </w:p>
        </w:tc>
        <w:tc>
          <w:tcPr>
            <w:tcW w:w="1758" w:type="dxa"/>
            <w:vAlign w:val="center"/>
          </w:tcPr>
          <w:p>
            <w:pPr>
              <w:pStyle w:val="24"/>
              <w:snapToGrid w:val="0"/>
              <w:spacing w:line="360" w:lineRule="auto"/>
              <w:rPr>
                <w:rFonts w:ascii="仿宋" w:hAnsi="仿宋" w:eastAsia="仿宋" w:cs="仿宋"/>
              </w:rPr>
            </w:pPr>
          </w:p>
        </w:tc>
        <w:tc>
          <w:tcPr>
            <w:tcW w:w="762" w:type="dxa"/>
            <w:vAlign w:val="center"/>
          </w:tcPr>
          <w:p>
            <w:pPr>
              <w:pStyle w:val="24"/>
              <w:snapToGrid w:val="0"/>
              <w:spacing w:line="360" w:lineRule="auto"/>
              <w:rPr>
                <w:rFonts w:ascii="仿宋" w:hAnsi="仿宋" w:eastAsia="仿宋" w:cs="仿宋"/>
              </w:rPr>
            </w:pPr>
          </w:p>
        </w:tc>
        <w:tc>
          <w:tcPr>
            <w:tcW w:w="1867" w:type="dxa"/>
            <w:vAlign w:val="center"/>
          </w:tcPr>
          <w:p>
            <w:pPr>
              <w:pStyle w:val="24"/>
              <w:snapToGrid w:val="0"/>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vAlign w:val="center"/>
          </w:tcPr>
          <w:p>
            <w:pPr>
              <w:pStyle w:val="24"/>
              <w:snapToGrid w:val="0"/>
              <w:spacing w:line="360" w:lineRule="auto"/>
              <w:rPr>
                <w:rFonts w:ascii="仿宋" w:hAnsi="仿宋" w:eastAsia="仿宋" w:cs="仿宋"/>
              </w:rPr>
            </w:pPr>
            <w:r>
              <w:rPr>
                <w:rFonts w:hint="eastAsia" w:ascii="仿宋" w:hAnsi="仿宋" w:eastAsia="仿宋" w:cs="仿宋"/>
              </w:rPr>
              <w:t>2</w:t>
            </w:r>
          </w:p>
        </w:tc>
        <w:tc>
          <w:tcPr>
            <w:tcW w:w="1692" w:type="dxa"/>
            <w:vAlign w:val="center"/>
          </w:tcPr>
          <w:p>
            <w:pPr>
              <w:pStyle w:val="24"/>
              <w:snapToGrid w:val="0"/>
              <w:spacing w:line="360" w:lineRule="auto"/>
              <w:rPr>
                <w:rFonts w:ascii="仿宋" w:hAnsi="仿宋" w:eastAsia="仿宋" w:cs="仿宋"/>
              </w:rPr>
            </w:pPr>
          </w:p>
        </w:tc>
        <w:tc>
          <w:tcPr>
            <w:tcW w:w="1800" w:type="dxa"/>
            <w:vAlign w:val="center"/>
          </w:tcPr>
          <w:p>
            <w:pPr>
              <w:pStyle w:val="24"/>
              <w:snapToGrid w:val="0"/>
              <w:spacing w:line="360" w:lineRule="auto"/>
              <w:rPr>
                <w:rFonts w:ascii="仿宋" w:hAnsi="仿宋" w:eastAsia="仿宋" w:cs="仿宋"/>
              </w:rPr>
            </w:pPr>
          </w:p>
        </w:tc>
        <w:tc>
          <w:tcPr>
            <w:tcW w:w="1758" w:type="dxa"/>
            <w:vAlign w:val="center"/>
          </w:tcPr>
          <w:p>
            <w:pPr>
              <w:pStyle w:val="24"/>
              <w:snapToGrid w:val="0"/>
              <w:spacing w:line="360" w:lineRule="auto"/>
              <w:rPr>
                <w:rFonts w:ascii="仿宋" w:hAnsi="仿宋" w:eastAsia="仿宋" w:cs="仿宋"/>
              </w:rPr>
            </w:pPr>
          </w:p>
        </w:tc>
        <w:tc>
          <w:tcPr>
            <w:tcW w:w="762" w:type="dxa"/>
            <w:vAlign w:val="center"/>
          </w:tcPr>
          <w:p>
            <w:pPr>
              <w:pStyle w:val="24"/>
              <w:snapToGrid w:val="0"/>
              <w:spacing w:line="360" w:lineRule="auto"/>
              <w:rPr>
                <w:rFonts w:ascii="仿宋" w:hAnsi="仿宋" w:eastAsia="仿宋" w:cs="仿宋"/>
              </w:rPr>
            </w:pPr>
          </w:p>
        </w:tc>
        <w:tc>
          <w:tcPr>
            <w:tcW w:w="1867" w:type="dxa"/>
            <w:vAlign w:val="center"/>
          </w:tcPr>
          <w:p>
            <w:pPr>
              <w:pStyle w:val="24"/>
              <w:snapToGrid w:val="0"/>
              <w:spacing w:line="360" w:lineRule="auto"/>
              <w:rPr>
                <w:rFonts w:ascii="仿宋" w:hAnsi="仿宋" w:eastAsia="仿宋" w:cs="仿宋"/>
              </w:rPr>
            </w:pPr>
          </w:p>
        </w:tc>
      </w:tr>
    </w:tbl>
    <w:p>
      <w:pPr>
        <w:pStyle w:val="24"/>
        <w:snapToGrid w:val="0"/>
        <w:spacing w:line="360" w:lineRule="auto"/>
        <w:rPr>
          <w:rFonts w:ascii="仿宋" w:hAnsi="仿宋" w:eastAsia="仿宋" w:cs="仿宋"/>
        </w:rPr>
      </w:pPr>
      <w:r>
        <w:rPr>
          <w:rFonts w:hint="eastAsia" w:ascii="仿宋" w:hAnsi="仿宋" w:eastAsia="仿宋" w:cs="仿宋"/>
        </w:rPr>
        <w:t>三、技术资料</w:t>
      </w:r>
    </w:p>
    <w:p>
      <w:pPr>
        <w:pStyle w:val="24"/>
        <w:snapToGrid w:val="0"/>
        <w:spacing w:line="360" w:lineRule="auto"/>
        <w:rPr>
          <w:rFonts w:ascii="仿宋" w:hAnsi="仿宋" w:eastAsia="仿宋" w:cs="仿宋"/>
        </w:rPr>
      </w:pPr>
      <w:r>
        <w:rPr>
          <w:rFonts w:hint="eastAsia" w:ascii="仿宋" w:hAnsi="仿宋" w:eastAsia="仿宋" w:cs="仿宋"/>
        </w:rPr>
        <w:t>1.乙方应按交易文件规定的时间向甲方提供有关技术资料。</w:t>
      </w:r>
    </w:p>
    <w:p>
      <w:pPr>
        <w:pStyle w:val="24"/>
        <w:snapToGrid w:val="0"/>
        <w:spacing w:line="360" w:lineRule="auto"/>
        <w:rPr>
          <w:rFonts w:ascii="仿宋" w:hAnsi="仿宋" w:eastAsia="仿宋" w:cs="仿宋"/>
        </w:rPr>
      </w:pPr>
      <w:r>
        <w:rPr>
          <w:rFonts w:hint="eastAsia" w:ascii="仿宋" w:hAnsi="仿宋" w:eastAsia="仿宋" w:cs="仿宋"/>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snapToGrid w:val="0"/>
        <w:spacing w:line="360" w:lineRule="auto"/>
        <w:rPr>
          <w:rFonts w:ascii="仿宋" w:hAnsi="仿宋" w:eastAsia="仿宋" w:cs="仿宋"/>
        </w:rPr>
      </w:pPr>
      <w:r>
        <w:rPr>
          <w:rFonts w:hint="eastAsia" w:ascii="仿宋" w:hAnsi="仿宋" w:eastAsia="仿宋" w:cs="仿宋"/>
        </w:rPr>
        <w:t>四、知识产权</w:t>
      </w:r>
    </w:p>
    <w:p>
      <w:pPr>
        <w:pStyle w:val="24"/>
        <w:snapToGrid w:val="0"/>
        <w:spacing w:line="360" w:lineRule="auto"/>
        <w:rPr>
          <w:rFonts w:ascii="仿宋" w:hAnsi="仿宋" w:eastAsia="仿宋" w:cs="仿宋"/>
        </w:rPr>
      </w:pPr>
      <w:r>
        <w:rPr>
          <w:rFonts w:hint="eastAsia" w:ascii="仿宋" w:hAnsi="仿宋" w:eastAsia="仿宋" w:cs="仿宋"/>
        </w:rPr>
        <w:t>乙方应保证提供服务过程中不会侵犯任何第三方的知识产权。</w:t>
      </w:r>
    </w:p>
    <w:p>
      <w:pPr>
        <w:pStyle w:val="24"/>
        <w:snapToGrid w:val="0"/>
        <w:spacing w:line="360" w:lineRule="auto"/>
        <w:rPr>
          <w:rFonts w:ascii="仿宋" w:hAnsi="仿宋" w:eastAsia="仿宋" w:cs="仿宋"/>
        </w:rPr>
      </w:pPr>
      <w:r>
        <w:rPr>
          <w:rFonts w:hint="eastAsia" w:ascii="仿宋" w:hAnsi="仿宋" w:eastAsia="仿宋" w:cs="仿宋"/>
        </w:rPr>
        <w:t>五、履约保证金</w:t>
      </w:r>
    </w:p>
    <w:p>
      <w:pPr>
        <w:pStyle w:val="24"/>
        <w:snapToGrid w:val="0"/>
        <w:spacing w:line="360" w:lineRule="auto"/>
        <w:rPr>
          <w:rFonts w:ascii="仿宋" w:hAnsi="仿宋" w:eastAsia="仿宋" w:cs="仿宋"/>
        </w:rPr>
      </w:pPr>
      <w:r>
        <w:rPr>
          <w:rFonts w:hint="eastAsia" w:ascii="仿宋" w:hAnsi="仿宋" w:eastAsia="仿宋" w:cs="仿宋"/>
        </w:rPr>
        <w:t>乙方交纳人民币        元作为本合同的履约保证金。</w:t>
      </w:r>
    </w:p>
    <w:p>
      <w:pPr>
        <w:pStyle w:val="24"/>
        <w:snapToGrid w:val="0"/>
        <w:spacing w:line="360" w:lineRule="auto"/>
        <w:rPr>
          <w:rFonts w:ascii="仿宋" w:hAnsi="仿宋" w:eastAsia="仿宋" w:cs="仿宋"/>
        </w:rPr>
      </w:pPr>
      <w:r>
        <w:rPr>
          <w:rFonts w:hint="eastAsia" w:ascii="仿宋" w:hAnsi="仿宋" w:eastAsia="仿宋" w:cs="仿宋"/>
        </w:rPr>
        <w:t>六、转包或分包</w:t>
      </w:r>
    </w:p>
    <w:p>
      <w:pPr>
        <w:pStyle w:val="24"/>
        <w:snapToGrid w:val="0"/>
        <w:spacing w:line="360" w:lineRule="auto"/>
        <w:rPr>
          <w:rFonts w:ascii="仿宋" w:hAnsi="仿宋" w:eastAsia="仿宋" w:cs="仿宋"/>
        </w:rPr>
      </w:pPr>
      <w:r>
        <w:rPr>
          <w:rFonts w:hint="eastAsia" w:ascii="仿宋" w:hAnsi="仿宋" w:eastAsia="仿宋" w:cs="仿宋"/>
        </w:rPr>
        <w:t>1.本合同范围的服务，应由乙方直接供应，不得转让他人供应；</w:t>
      </w:r>
    </w:p>
    <w:p>
      <w:pPr>
        <w:pStyle w:val="24"/>
        <w:snapToGrid w:val="0"/>
        <w:spacing w:line="360" w:lineRule="auto"/>
        <w:rPr>
          <w:rFonts w:ascii="仿宋" w:hAnsi="仿宋" w:eastAsia="仿宋" w:cs="仿宋"/>
        </w:rPr>
      </w:pPr>
      <w:r>
        <w:rPr>
          <w:rFonts w:hint="eastAsia" w:ascii="仿宋" w:hAnsi="仿宋" w:eastAsia="仿宋" w:cs="仿宋"/>
        </w:rPr>
        <w:t>2.除非得到甲方的书面同意，乙方不得将本合同范围的服务全部或部分分包给他人供应；</w:t>
      </w:r>
    </w:p>
    <w:p>
      <w:pPr>
        <w:pStyle w:val="24"/>
        <w:snapToGrid w:val="0"/>
        <w:spacing w:line="360" w:lineRule="auto"/>
        <w:rPr>
          <w:rFonts w:ascii="仿宋" w:hAnsi="仿宋" w:eastAsia="仿宋" w:cs="仿宋"/>
        </w:rPr>
      </w:pPr>
      <w:r>
        <w:rPr>
          <w:rFonts w:hint="eastAsia" w:ascii="仿宋" w:hAnsi="仿宋" w:eastAsia="仿宋" w:cs="仿宋"/>
        </w:rPr>
        <w:t>3.如有转让和未经甲方同意的分包行为，甲方有权解除合同，没收履约保证金并追究乙方的违约责任。</w:t>
      </w:r>
    </w:p>
    <w:p>
      <w:pPr>
        <w:pStyle w:val="24"/>
        <w:snapToGrid w:val="0"/>
        <w:spacing w:line="360" w:lineRule="auto"/>
        <w:rPr>
          <w:rFonts w:ascii="仿宋" w:hAnsi="仿宋" w:eastAsia="仿宋" w:cs="仿宋"/>
        </w:rPr>
      </w:pPr>
      <w:r>
        <w:rPr>
          <w:rFonts w:hint="eastAsia" w:ascii="仿宋" w:hAnsi="仿宋" w:eastAsia="仿宋" w:cs="仿宋"/>
        </w:rPr>
        <w:t>七、服务质量保证期</w:t>
      </w:r>
    </w:p>
    <w:p>
      <w:pPr>
        <w:pStyle w:val="24"/>
        <w:snapToGrid w:val="0"/>
        <w:spacing w:line="360" w:lineRule="auto"/>
        <w:rPr>
          <w:rFonts w:ascii="仿宋" w:hAnsi="仿宋" w:eastAsia="仿宋" w:cs="仿宋"/>
        </w:rPr>
      </w:pPr>
      <w:r>
        <w:rPr>
          <w:rFonts w:hint="eastAsia" w:ascii="仿宋" w:hAnsi="仿宋" w:eastAsia="仿宋" w:cs="仿宋"/>
        </w:rPr>
        <w:t>1. 服务质量保证期      年。（自验收合格之日起计）</w:t>
      </w:r>
    </w:p>
    <w:p>
      <w:pPr>
        <w:pStyle w:val="24"/>
        <w:snapToGrid w:val="0"/>
        <w:spacing w:line="360" w:lineRule="auto"/>
        <w:rPr>
          <w:rFonts w:ascii="仿宋" w:hAnsi="仿宋" w:eastAsia="仿宋" w:cs="仿宋"/>
        </w:rPr>
      </w:pPr>
      <w:r>
        <w:rPr>
          <w:rFonts w:hint="eastAsia" w:ascii="仿宋" w:hAnsi="仿宋" w:eastAsia="仿宋" w:cs="仿宋"/>
        </w:rPr>
        <w:t>八、合同履行时间、履行方式及履行地点</w:t>
      </w:r>
    </w:p>
    <w:p>
      <w:pPr>
        <w:pStyle w:val="24"/>
        <w:snapToGrid w:val="0"/>
        <w:spacing w:line="360" w:lineRule="auto"/>
        <w:rPr>
          <w:rFonts w:ascii="仿宋" w:hAnsi="仿宋" w:eastAsia="仿宋" w:cs="仿宋"/>
        </w:rPr>
      </w:pPr>
      <w:r>
        <w:rPr>
          <w:rFonts w:hint="eastAsia" w:ascii="仿宋" w:hAnsi="仿宋" w:eastAsia="仿宋" w:cs="仿宋"/>
        </w:rPr>
        <w:t>1. 履行时间：</w:t>
      </w:r>
    </w:p>
    <w:p>
      <w:pPr>
        <w:pStyle w:val="24"/>
        <w:snapToGrid w:val="0"/>
        <w:spacing w:line="360" w:lineRule="auto"/>
        <w:rPr>
          <w:rFonts w:ascii="仿宋" w:hAnsi="仿宋" w:eastAsia="仿宋" w:cs="仿宋"/>
        </w:rPr>
      </w:pPr>
      <w:r>
        <w:rPr>
          <w:rFonts w:hint="eastAsia" w:ascii="仿宋" w:hAnsi="仿宋" w:eastAsia="仿宋" w:cs="仿宋"/>
        </w:rPr>
        <w:t>2. 履行方式：</w:t>
      </w:r>
    </w:p>
    <w:p>
      <w:pPr>
        <w:pStyle w:val="24"/>
        <w:snapToGrid w:val="0"/>
        <w:spacing w:line="360" w:lineRule="auto"/>
        <w:rPr>
          <w:rFonts w:ascii="仿宋" w:hAnsi="仿宋" w:eastAsia="仿宋" w:cs="仿宋"/>
        </w:rPr>
      </w:pPr>
      <w:r>
        <w:rPr>
          <w:rFonts w:hint="eastAsia" w:ascii="仿宋" w:hAnsi="仿宋" w:eastAsia="仿宋" w:cs="仿宋"/>
        </w:rPr>
        <w:t>3. 履行地点：</w:t>
      </w:r>
    </w:p>
    <w:p>
      <w:pPr>
        <w:pStyle w:val="24"/>
        <w:snapToGrid w:val="0"/>
        <w:spacing w:line="360" w:lineRule="auto"/>
        <w:rPr>
          <w:rFonts w:ascii="仿宋" w:hAnsi="仿宋" w:eastAsia="仿宋" w:cs="仿宋"/>
        </w:rPr>
      </w:pPr>
      <w:r>
        <w:rPr>
          <w:rFonts w:hint="eastAsia" w:ascii="仿宋" w:hAnsi="仿宋" w:eastAsia="仿宋" w:cs="仿宋"/>
        </w:rPr>
        <w:t>九、款项支付</w:t>
      </w:r>
    </w:p>
    <w:p>
      <w:pPr>
        <w:pStyle w:val="24"/>
        <w:snapToGrid w:val="0"/>
        <w:spacing w:line="360" w:lineRule="auto"/>
        <w:rPr>
          <w:rFonts w:ascii="仿宋" w:hAnsi="仿宋" w:eastAsia="仿宋" w:cs="仿宋"/>
        </w:rPr>
      </w:pPr>
      <w:r>
        <w:rPr>
          <w:rFonts w:hint="eastAsia" w:ascii="仿宋" w:hAnsi="仿宋" w:eastAsia="仿宋" w:cs="仿宋"/>
        </w:rPr>
        <w:t>1.付款方式：</w:t>
      </w:r>
    </w:p>
    <w:p>
      <w:pPr>
        <w:pStyle w:val="24"/>
        <w:snapToGrid w:val="0"/>
        <w:spacing w:line="360" w:lineRule="auto"/>
        <w:rPr>
          <w:rFonts w:ascii="仿宋" w:hAnsi="仿宋" w:eastAsia="仿宋" w:cs="仿宋"/>
        </w:rPr>
      </w:pPr>
      <w:r>
        <w:rPr>
          <w:rFonts w:hint="eastAsia" w:ascii="仿宋" w:hAnsi="仿宋" w:eastAsia="仿宋" w:cs="仿宋"/>
        </w:rPr>
        <w:t>2.合同履行完毕，需方根据合同进行验收，验收合格后供应商按财政结算要求办理货款结算手续。</w:t>
      </w:r>
    </w:p>
    <w:p>
      <w:pPr>
        <w:pStyle w:val="24"/>
        <w:snapToGrid w:val="0"/>
        <w:spacing w:line="360" w:lineRule="auto"/>
        <w:rPr>
          <w:rFonts w:ascii="仿宋" w:hAnsi="仿宋" w:eastAsia="仿宋" w:cs="仿宋"/>
        </w:rPr>
      </w:pPr>
      <w:r>
        <w:rPr>
          <w:rFonts w:hint="eastAsia" w:ascii="仿宋" w:hAnsi="仿宋" w:eastAsia="仿宋" w:cs="仿宋"/>
        </w:rPr>
        <w:t>十、税费</w:t>
      </w:r>
    </w:p>
    <w:p>
      <w:pPr>
        <w:pStyle w:val="24"/>
        <w:snapToGrid w:val="0"/>
        <w:spacing w:line="360" w:lineRule="auto"/>
        <w:rPr>
          <w:rFonts w:ascii="仿宋" w:hAnsi="仿宋" w:eastAsia="仿宋" w:cs="仿宋"/>
        </w:rPr>
      </w:pPr>
      <w:r>
        <w:rPr>
          <w:rFonts w:hint="eastAsia" w:ascii="仿宋" w:hAnsi="仿宋" w:eastAsia="仿宋" w:cs="仿宋"/>
        </w:rPr>
        <w:t>本合同执行中相关的一切税费均由乙方负担。</w:t>
      </w:r>
    </w:p>
    <w:p>
      <w:pPr>
        <w:pStyle w:val="24"/>
        <w:snapToGrid w:val="0"/>
        <w:spacing w:line="360" w:lineRule="auto"/>
        <w:rPr>
          <w:rFonts w:ascii="仿宋" w:hAnsi="仿宋" w:eastAsia="仿宋" w:cs="仿宋"/>
        </w:rPr>
      </w:pPr>
      <w:r>
        <w:rPr>
          <w:rFonts w:hint="eastAsia" w:ascii="仿宋" w:hAnsi="仿宋" w:eastAsia="仿宋" w:cs="仿宋"/>
        </w:rPr>
        <w:t>十一、质量保证及后续服务</w:t>
      </w:r>
    </w:p>
    <w:p>
      <w:pPr>
        <w:pStyle w:val="24"/>
        <w:snapToGrid w:val="0"/>
        <w:spacing w:line="360" w:lineRule="auto"/>
        <w:rPr>
          <w:rFonts w:ascii="仿宋" w:hAnsi="仿宋" w:eastAsia="仿宋" w:cs="仿宋"/>
        </w:rPr>
      </w:pPr>
      <w:r>
        <w:rPr>
          <w:rFonts w:hint="eastAsia" w:ascii="仿宋" w:hAnsi="仿宋" w:eastAsia="仿宋" w:cs="仿宋"/>
        </w:rPr>
        <w:t>1. 乙方应按交易文件规定向甲方提供服务。</w:t>
      </w:r>
    </w:p>
    <w:p>
      <w:pPr>
        <w:pStyle w:val="24"/>
        <w:snapToGrid w:val="0"/>
        <w:spacing w:line="360" w:lineRule="auto"/>
        <w:rPr>
          <w:rFonts w:ascii="仿宋" w:hAnsi="仿宋" w:eastAsia="仿宋" w:cs="仿宋"/>
        </w:rPr>
      </w:pPr>
      <w:r>
        <w:rPr>
          <w:rFonts w:hint="eastAsia" w:ascii="仿宋" w:hAnsi="仿宋" w:eastAsia="仿宋" w:cs="仿宋"/>
        </w:rPr>
        <w:t>2. 乙方提供的服务成果在服务质量保证期内发生故障，乙方应负责免费提供后续服务。对达不到要求者，根据实际情况，经双方协商，可按以下办法处理：</w:t>
      </w:r>
    </w:p>
    <w:p>
      <w:pPr>
        <w:pStyle w:val="24"/>
        <w:snapToGrid w:val="0"/>
        <w:spacing w:line="360" w:lineRule="auto"/>
        <w:rPr>
          <w:rFonts w:ascii="仿宋" w:hAnsi="仿宋" w:eastAsia="仿宋" w:cs="仿宋"/>
        </w:rPr>
      </w:pPr>
      <w:r>
        <w:rPr>
          <w:rFonts w:hint="eastAsia" w:ascii="仿宋" w:hAnsi="仿宋" w:eastAsia="仿宋" w:cs="仿宋"/>
        </w:rPr>
        <w:t>⑴重做：由乙方承担所发生的全部费用。</w:t>
      </w:r>
    </w:p>
    <w:p>
      <w:pPr>
        <w:pStyle w:val="24"/>
        <w:snapToGrid w:val="0"/>
        <w:spacing w:line="360" w:lineRule="auto"/>
        <w:rPr>
          <w:rFonts w:ascii="仿宋" w:hAnsi="仿宋" w:eastAsia="仿宋" w:cs="仿宋"/>
        </w:rPr>
      </w:pPr>
      <w:r>
        <w:rPr>
          <w:rFonts w:hint="eastAsia" w:ascii="仿宋" w:hAnsi="仿宋" w:eastAsia="仿宋" w:cs="仿宋"/>
        </w:rPr>
        <w:t>⑵贬值处理：由甲乙双方合议定价。</w:t>
      </w:r>
    </w:p>
    <w:p>
      <w:pPr>
        <w:pStyle w:val="24"/>
        <w:snapToGrid w:val="0"/>
        <w:spacing w:line="360" w:lineRule="auto"/>
        <w:rPr>
          <w:rFonts w:ascii="仿宋" w:hAnsi="仿宋" w:eastAsia="仿宋" w:cs="仿宋"/>
        </w:rPr>
      </w:pPr>
      <w:r>
        <w:rPr>
          <w:rFonts w:hint="eastAsia" w:ascii="仿宋" w:hAnsi="仿宋" w:eastAsia="仿宋" w:cs="仿宋"/>
        </w:rPr>
        <w:t>⑶解除合同。</w:t>
      </w:r>
    </w:p>
    <w:p>
      <w:pPr>
        <w:pStyle w:val="24"/>
        <w:snapToGrid w:val="0"/>
        <w:spacing w:line="360" w:lineRule="auto"/>
        <w:rPr>
          <w:rFonts w:ascii="仿宋" w:hAnsi="仿宋" w:eastAsia="仿宋" w:cs="仿宋"/>
        </w:rPr>
      </w:pPr>
      <w:r>
        <w:rPr>
          <w:rFonts w:hint="eastAsia" w:ascii="仿宋" w:hAnsi="仿宋" w:eastAsia="仿宋" w:cs="仿宋"/>
        </w:rPr>
        <w:t>3. 如在使用过程中发生问题，乙方在接到甲方通知后在1小时内到达甲方现场。</w:t>
      </w:r>
    </w:p>
    <w:p>
      <w:pPr>
        <w:pStyle w:val="24"/>
        <w:snapToGrid w:val="0"/>
        <w:spacing w:line="360" w:lineRule="auto"/>
        <w:rPr>
          <w:rFonts w:ascii="仿宋" w:hAnsi="仿宋" w:eastAsia="仿宋" w:cs="仿宋"/>
        </w:rPr>
      </w:pPr>
      <w:r>
        <w:rPr>
          <w:rFonts w:hint="eastAsia" w:ascii="仿宋" w:hAnsi="仿宋" w:eastAsia="仿宋" w:cs="仿宋"/>
        </w:rPr>
        <w:t>4.在服务质量保证期内，乙方应对出现的质量及安全问题负责处理解决并承担一切费用。</w:t>
      </w:r>
    </w:p>
    <w:p>
      <w:pPr>
        <w:pStyle w:val="24"/>
        <w:snapToGrid w:val="0"/>
        <w:spacing w:line="360" w:lineRule="auto"/>
        <w:ind w:firstLine="482"/>
        <w:rPr>
          <w:rFonts w:ascii="仿宋" w:hAnsi="仿宋" w:eastAsia="仿宋" w:cs="仿宋"/>
          <w:b/>
          <w:bCs/>
        </w:rPr>
      </w:pPr>
      <w:r>
        <w:rPr>
          <w:rFonts w:hint="eastAsia" w:ascii="仿宋" w:hAnsi="仿宋" w:eastAsia="仿宋" w:cs="仿宋"/>
          <w:b/>
          <w:bCs/>
        </w:rPr>
        <w:t>十二、甲方、乙方权利义务</w:t>
      </w:r>
    </w:p>
    <w:p>
      <w:pPr>
        <w:pStyle w:val="24"/>
        <w:snapToGrid w:val="0"/>
        <w:spacing w:line="360" w:lineRule="auto"/>
        <w:ind w:firstLine="482"/>
        <w:rPr>
          <w:rFonts w:ascii="仿宋" w:hAnsi="仿宋" w:eastAsia="仿宋" w:cs="仿宋"/>
          <w:b/>
          <w:bCs/>
        </w:rPr>
      </w:pPr>
      <w:r>
        <w:rPr>
          <w:rFonts w:hint="eastAsia" w:ascii="仿宋" w:hAnsi="仿宋" w:eastAsia="仿宋" w:cs="仿宋"/>
          <w:b/>
          <w:bCs/>
        </w:rPr>
        <w:t>1、甲方有权对乙方提供的服务实施监督检查，在每次疗休养结束后，乙方对疗休养服务进行职工满意度测评，并向甲方反馈评分结果，提出整改意见，职工满意度低于90%的，甲方有权终止合同并按照一定比例扣除履约保证金。</w:t>
      </w:r>
    </w:p>
    <w:p>
      <w:pPr>
        <w:pStyle w:val="24"/>
        <w:snapToGrid w:val="0"/>
        <w:spacing w:line="360" w:lineRule="auto"/>
        <w:ind w:firstLine="482"/>
        <w:rPr>
          <w:rFonts w:ascii="仿宋" w:hAnsi="仿宋" w:eastAsia="仿宋" w:cs="仿宋"/>
          <w:b/>
          <w:bCs/>
        </w:rPr>
      </w:pPr>
      <w:r>
        <w:rPr>
          <w:rFonts w:hint="eastAsia" w:ascii="仿宋" w:hAnsi="仿宋" w:eastAsia="仿宋" w:cs="仿宋"/>
          <w:b/>
          <w:bCs/>
        </w:rPr>
        <w:t>2、乙方将采取各种有效防范措施，负责对甲方疗休养人员提供最大限度的人身安全保障。</w:t>
      </w:r>
    </w:p>
    <w:p>
      <w:pPr>
        <w:pStyle w:val="24"/>
        <w:snapToGrid w:val="0"/>
        <w:spacing w:line="360" w:lineRule="auto"/>
        <w:ind w:firstLine="482"/>
        <w:rPr>
          <w:rFonts w:ascii="仿宋" w:hAnsi="仿宋" w:eastAsia="仿宋" w:cs="仿宋"/>
          <w:b/>
          <w:bCs/>
        </w:rPr>
      </w:pPr>
      <w:r>
        <w:rPr>
          <w:rFonts w:hint="eastAsia" w:ascii="仿宋" w:hAnsi="仿宋" w:eastAsia="仿宋" w:cs="仿宋"/>
          <w:b/>
          <w:bCs/>
        </w:rPr>
        <w:t>3、甲方疗休养期间发生人身伤害和财产损失的，由乙方承担全部法律责任和经济赔偿责任，乙方必须负责配合有关部门及时处理，甲方有协调和调解的义务。</w:t>
      </w:r>
    </w:p>
    <w:p>
      <w:pPr>
        <w:pStyle w:val="24"/>
        <w:snapToGrid w:val="0"/>
        <w:spacing w:line="360" w:lineRule="auto"/>
        <w:ind w:firstLine="482"/>
        <w:rPr>
          <w:rFonts w:ascii="仿宋" w:hAnsi="仿宋" w:eastAsia="仿宋" w:cs="仿宋"/>
          <w:b/>
          <w:bCs/>
        </w:rPr>
      </w:pPr>
      <w:r>
        <w:rPr>
          <w:rFonts w:hint="eastAsia" w:ascii="仿宋" w:hAnsi="仿宋" w:eastAsia="仿宋" w:cs="仿宋"/>
          <w:b/>
          <w:bCs/>
        </w:rPr>
        <w:t>4、乙方不得强迫或变相强迫甲方疗休养人员购物和参加自费项目。</w:t>
      </w:r>
    </w:p>
    <w:p>
      <w:pPr>
        <w:pStyle w:val="24"/>
        <w:snapToGrid w:val="0"/>
        <w:spacing w:line="360" w:lineRule="auto"/>
        <w:ind w:firstLine="482"/>
      </w:pPr>
      <w:r>
        <w:rPr>
          <w:rFonts w:hint="eastAsia" w:ascii="仿宋" w:hAnsi="仿宋" w:eastAsia="仿宋" w:cs="仿宋"/>
          <w:b/>
          <w:bCs/>
        </w:rPr>
        <w:t>5、乙方应对甲方疗休养人员信息严格保密，不得将甲方疗休养人员所有信息（包括但不限于个人信息、健康信息等）提供或用于其他目的。</w:t>
      </w:r>
    </w:p>
    <w:p>
      <w:pPr>
        <w:pStyle w:val="24"/>
        <w:snapToGrid w:val="0"/>
        <w:spacing w:line="360" w:lineRule="auto"/>
        <w:rPr>
          <w:rFonts w:ascii="仿宋" w:hAnsi="仿宋" w:eastAsia="仿宋" w:cs="仿宋"/>
        </w:rPr>
      </w:pPr>
      <w:r>
        <w:rPr>
          <w:rFonts w:hint="eastAsia" w:ascii="仿宋" w:hAnsi="仿宋" w:eastAsia="仿宋" w:cs="仿宋"/>
        </w:rPr>
        <w:t>十三、争议的解决</w:t>
      </w:r>
    </w:p>
    <w:p>
      <w:pPr>
        <w:pStyle w:val="24"/>
        <w:snapToGrid w:val="0"/>
        <w:spacing w:line="360" w:lineRule="auto"/>
        <w:rPr>
          <w:rFonts w:ascii="仿宋" w:hAnsi="仿宋" w:eastAsia="仿宋" w:cs="仿宋"/>
        </w:rPr>
      </w:pPr>
      <w:r>
        <w:rPr>
          <w:rFonts w:hint="eastAsia" w:ascii="仿宋" w:hAnsi="仿宋" w:eastAsia="仿宋" w:cs="仿宋"/>
        </w:rPr>
        <w:t>因本合同引起的或与本合同有关的任何争议，合同双方应首先通过协商解决，达成书面协议，如协商不成，可选择下列第      种方式解决。</w:t>
      </w:r>
    </w:p>
    <w:p>
      <w:pPr>
        <w:pStyle w:val="24"/>
        <w:snapToGrid w:val="0"/>
        <w:spacing w:line="360" w:lineRule="auto"/>
        <w:rPr>
          <w:rFonts w:ascii="仿宋" w:hAnsi="仿宋" w:eastAsia="仿宋" w:cs="仿宋"/>
        </w:rPr>
      </w:pPr>
      <w:r>
        <w:rPr>
          <w:rFonts w:hint="eastAsia" w:ascii="仿宋" w:hAnsi="仿宋" w:eastAsia="仿宋" w:cs="仿宋"/>
        </w:rPr>
        <w:t>（1）提请杭州仲裁委员会按照该会仲裁规则进行仲裁，仲裁裁决是终局的，对合同双方均有约束力。</w:t>
      </w:r>
    </w:p>
    <w:p>
      <w:pPr>
        <w:pStyle w:val="24"/>
        <w:snapToGrid w:val="0"/>
        <w:spacing w:line="360" w:lineRule="auto"/>
        <w:rPr>
          <w:rFonts w:ascii="仿宋" w:hAnsi="仿宋" w:eastAsia="仿宋" w:cs="仿宋"/>
        </w:rPr>
      </w:pPr>
      <w:r>
        <w:rPr>
          <w:rFonts w:hint="eastAsia" w:ascii="仿宋" w:hAnsi="仿宋" w:eastAsia="仿宋" w:cs="仿宋"/>
        </w:rPr>
        <w:t>（2）向有管辖权的人民法院提起诉讼。</w:t>
      </w:r>
    </w:p>
    <w:p>
      <w:pPr>
        <w:pStyle w:val="24"/>
        <w:snapToGrid w:val="0"/>
        <w:spacing w:line="360" w:lineRule="auto"/>
        <w:rPr>
          <w:rFonts w:ascii="仿宋" w:hAnsi="仿宋" w:eastAsia="仿宋" w:cs="仿宋"/>
        </w:rPr>
      </w:pPr>
      <w:r>
        <w:rPr>
          <w:rFonts w:hint="eastAsia" w:ascii="仿宋" w:hAnsi="仿宋" w:eastAsia="仿宋" w:cs="仿宋"/>
        </w:rPr>
        <w:t>十四、合同生效</w:t>
      </w:r>
    </w:p>
    <w:p>
      <w:pPr>
        <w:pStyle w:val="24"/>
        <w:snapToGrid w:val="0"/>
        <w:spacing w:line="360" w:lineRule="auto"/>
        <w:rPr>
          <w:rFonts w:ascii="仿宋" w:hAnsi="仿宋" w:eastAsia="仿宋" w:cs="仿宋"/>
        </w:rPr>
      </w:pPr>
      <w:r>
        <w:rPr>
          <w:rFonts w:hint="eastAsia" w:ascii="仿宋" w:hAnsi="仿宋" w:eastAsia="仿宋" w:cs="仿宋"/>
        </w:rPr>
        <w:t>1.中标方持中标通知书作为与需方签订合同的凭证。</w:t>
      </w:r>
    </w:p>
    <w:p>
      <w:pPr>
        <w:pStyle w:val="24"/>
        <w:snapToGrid w:val="0"/>
        <w:spacing w:line="360" w:lineRule="auto"/>
        <w:rPr>
          <w:rFonts w:ascii="仿宋" w:hAnsi="仿宋" w:eastAsia="仿宋" w:cs="仿宋"/>
        </w:rPr>
      </w:pPr>
      <w:r>
        <w:rPr>
          <w:rFonts w:hint="eastAsia" w:ascii="仿宋" w:hAnsi="仿宋" w:eastAsia="仿宋" w:cs="仿宋"/>
        </w:rPr>
        <w:t>2.本合同经需、供双方法定代表人或其授权委托人签字并加盖单位公章后生效。</w:t>
      </w:r>
    </w:p>
    <w:p>
      <w:pPr>
        <w:pStyle w:val="24"/>
        <w:snapToGrid w:val="0"/>
        <w:spacing w:line="360" w:lineRule="auto"/>
        <w:rPr>
          <w:rFonts w:ascii="仿宋" w:hAnsi="仿宋" w:eastAsia="仿宋" w:cs="仿宋"/>
        </w:rPr>
      </w:pPr>
      <w:r>
        <w:rPr>
          <w:rFonts w:hint="eastAsia" w:ascii="仿宋" w:hAnsi="仿宋" w:eastAsia="仿宋" w:cs="仿宋"/>
        </w:rPr>
        <w:t>需方（盖章）：                      供方（盖章）：</w:t>
      </w:r>
    </w:p>
    <w:p>
      <w:pPr>
        <w:pStyle w:val="24"/>
        <w:snapToGrid w:val="0"/>
        <w:spacing w:line="360" w:lineRule="auto"/>
        <w:rPr>
          <w:rFonts w:ascii="仿宋" w:hAnsi="仿宋" w:eastAsia="仿宋" w:cs="仿宋"/>
        </w:rPr>
      </w:pPr>
      <w:r>
        <w:rPr>
          <w:rFonts w:hint="eastAsia" w:ascii="仿宋" w:hAnsi="仿宋" w:eastAsia="仿宋" w:cs="仿宋"/>
        </w:rPr>
        <w:t>地址：                             地址：</w:t>
      </w:r>
    </w:p>
    <w:p>
      <w:pPr>
        <w:pStyle w:val="24"/>
        <w:snapToGrid w:val="0"/>
        <w:spacing w:line="360" w:lineRule="auto"/>
        <w:rPr>
          <w:rFonts w:ascii="仿宋" w:hAnsi="仿宋" w:eastAsia="仿宋" w:cs="仿宋"/>
        </w:rPr>
      </w:pPr>
      <w:r>
        <w:rPr>
          <w:rFonts w:hint="eastAsia" w:ascii="仿宋" w:hAnsi="仿宋" w:eastAsia="仿宋" w:cs="仿宋"/>
        </w:rPr>
        <w:t xml:space="preserve">法定代表人（或委托代理人）签名：   法定代表人（或委托代理人）签名：                    </w:t>
      </w:r>
    </w:p>
    <w:p>
      <w:pPr>
        <w:pStyle w:val="24"/>
        <w:snapToGrid w:val="0"/>
        <w:spacing w:line="360" w:lineRule="auto"/>
        <w:rPr>
          <w:rFonts w:ascii="仿宋" w:hAnsi="仿宋" w:eastAsia="仿宋" w:cs="仿宋"/>
        </w:rPr>
      </w:pPr>
      <w:r>
        <w:rPr>
          <w:rFonts w:hint="eastAsia" w:ascii="仿宋" w:hAnsi="仿宋" w:eastAsia="仿宋" w:cs="仿宋"/>
        </w:rPr>
        <w:t>联系电话：                         联系电话：</w:t>
      </w:r>
    </w:p>
    <w:p>
      <w:pPr>
        <w:pStyle w:val="24"/>
        <w:snapToGrid w:val="0"/>
        <w:spacing w:line="360" w:lineRule="auto"/>
        <w:rPr>
          <w:rFonts w:ascii="仿宋" w:hAnsi="仿宋" w:eastAsia="仿宋" w:cs="仿宋"/>
        </w:rPr>
      </w:pPr>
      <w:r>
        <w:rPr>
          <w:rFonts w:hint="eastAsia" w:ascii="仿宋" w:hAnsi="仿宋" w:eastAsia="仿宋" w:cs="仿宋"/>
        </w:rPr>
        <w:t>邮政编码：                         邮政编码：</w:t>
      </w:r>
    </w:p>
    <w:p>
      <w:pPr>
        <w:pStyle w:val="24"/>
        <w:snapToGrid w:val="0"/>
        <w:spacing w:line="360" w:lineRule="auto"/>
        <w:rPr>
          <w:rFonts w:ascii="仿宋" w:hAnsi="仿宋" w:eastAsia="仿宋" w:cs="仿宋"/>
        </w:rPr>
      </w:pPr>
      <w:r>
        <w:rPr>
          <w:rFonts w:hint="eastAsia" w:ascii="仿宋" w:hAnsi="仿宋" w:eastAsia="仿宋" w:cs="仿宋"/>
        </w:rPr>
        <w:t xml:space="preserve">开户银行：                         开户银行：      </w:t>
      </w:r>
    </w:p>
    <w:p>
      <w:pPr>
        <w:pStyle w:val="24"/>
        <w:snapToGrid w:val="0"/>
        <w:spacing w:line="360" w:lineRule="auto"/>
        <w:rPr>
          <w:rFonts w:ascii="仿宋" w:hAnsi="仿宋" w:eastAsia="仿宋" w:cs="仿宋"/>
        </w:rPr>
      </w:pPr>
      <w:r>
        <w:rPr>
          <w:rFonts w:hint="eastAsia" w:ascii="仿宋" w:hAnsi="仿宋" w:eastAsia="仿宋" w:cs="仿宋"/>
        </w:rPr>
        <w:t>帐号：                             帐号：</w:t>
      </w:r>
    </w:p>
    <w:p>
      <w:pPr>
        <w:pStyle w:val="4"/>
        <w:rPr>
          <w:rFonts w:cs="仿宋"/>
          <w:color w:val="auto"/>
        </w:rPr>
      </w:pPr>
    </w:p>
    <w:p>
      <w:pPr>
        <w:rPr>
          <w:rFonts w:cs="仿宋"/>
        </w:rPr>
      </w:pPr>
      <w:r>
        <w:rPr>
          <w:rFonts w:hint="eastAsia" w:cs="仿宋"/>
        </w:rPr>
        <w:br w:type="page"/>
      </w:r>
    </w:p>
    <w:p>
      <w:pPr>
        <w:pStyle w:val="4"/>
        <w:rPr>
          <w:rFonts w:cs="仿宋"/>
          <w:color w:val="auto"/>
        </w:rPr>
      </w:pPr>
      <w:r>
        <w:rPr>
          <w:rFonts w:hint="eastAsia" w:cs="仿宋"/>
          <w:color w:val="auto"/>
        </w:rPr>
        <w:t>第六部分</w:t>
      </w:r>
      <w:bookmarkEnd w:id="427"/>
      <w:bookmarkEnd w:id="428"/>
      <w:r>
        <w:rPr>
          <w:rFonts w:hint="eastAsia" w:cs="仿宋"/>
          <w:color w:val="auto"/>
        </w:rPr>
        <w:t>应提交的有关格式范例</w:t>
      </w:r>
    </w:p>
    <w:p>
      <w:pPr>
        <w:spacing w:line="360" w:lineRule="auto"/>
        <w:ind w:firstLine="480" w:firstLineChars="200"/>
        <w:outlineLvl w:val="0"/>
        <w:rPr>
          <w:rFonts w:ascii="仿宋" w:hAnsi="仿宋" w:eastAsia="仿宋" w:cs="仿宋"/>
          <w:sz w:val="24"/>
        </w:rPr>
      </w:pPr>
      <w:r>
        <w:rPr>
          <w:rFonts w:hint="eastAsia" w:ascii="仿宋" w:hAnsi="仿宋" w:eastAsia="仿宋" w:cs="仿宋"/>
          <w:sz w:val="24"/>
        </w:rPr>
        <w:t>供应商按照以下格式编制投标文件，并将资格文件、报价文件、商务技术文件分别装订成册。</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（3）本项目的特定资格要求………………………………………………（页码）</w:t>
      </w:r>
    </w:p>
    <w:p>
      <w:pPr>
        <w:snapToGrid w:val="0"/>
        <w:spacing w:line="360" w:lineRule="auto"/>
        <w:rPr>
          <w:rFonts w:ascii="仿宋" w:hAnsi="仿宋" w:eastAsia="仿宋" w:cs="仿宋"/>
          <w:sz w:val="36"/>
          <w:szCs w:val="36"/>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我方参与XXX采购项目【交易编号：XXX】政府采购活动，郑重承诺：</w:t>
      </w:r>
    </w:p>
    <w:p>
      <w:pPr>
        <w:snapToGrid w:val="0"/>
        <w:spacing w:line="360" w:lineRule="auto"/>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rPr>
          <w:rFonts w:ascii="仿宋" w:hAnsi="仿宋" w:eastAsia="仿宋" w:cs="仿宋"/>
          <w:sz w:val="24"/>
        </w:rPr>
      </w:pPr>
      <w:r>
        <w:rPr>
          <w:rFonts w:hint="eastAsia" w:ascii="仿宋" w:hAnsi="仿宋" w:eastAsia="仿宋" w:cs="仿宋"/>
          <w:sz w:val="24"/>
        </w:rPr>
        <w:t>（三）我方不存在以下情况：</w:t>
      </w:r>
    </w:p>
    <w:p>
      <w:pPr>
        <w:snapToGrid w:val="0"/>
        <w:spacing w:line="360" w:lineRule="auto"/>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供应商名称(电子签章)：</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月日</w:t>
      </w:r>
    </w:p>
    <w:p>
      <w:pPr>
        <w:spacing w:line="360" w:lineRule="auto"/>
        <w:jc w:val="center"/>
        <w:rPr>
          <w:rFonts w:ascii="仿宋" w:hAnsi="仿宋" w:eastAsia="仿宋" w:cs="仿宋"/>
          <w:b/>
          <w:sz w:val="30"/>
          <w:szCs w:val="30"/>
        </w:rPr>
      </w:pPr>
    </w:p>
    <w:p>
      <w:pPr>
        <w:spacing w:line="360" w:lineRule="auto"/>
        <w:jc w:val="center"/>
        <w:rPr>
          <w:rFonts w:ascii="仿宋" w:hAnsi="仿宋" w:eastAsia="仿宋" w:cs="仿宋"/>
          <w:b/>
          <w:sz w:val="30"/>
          <w:szCs w:val="30"/>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（根据交易公告本项目的特定资格要求提供相应的材料；未要求的，无需提供）</w:t>
      </w:r>
    </w:p>
    <w:p>
      <w:pPr>
        <w:pStyle w:val="72"/>
        <w:snapToGrid w:val="0"/>
        <w:spacing w:before="50" w:after="50"/>
        <w:ind w:left="360" w:firstLine="0" w:firstLineChars="0"/>
        <w:rPr>
          <w:rFonts w:ascii="仿宋" w:hAnsi="仿宋" w:eastAsia="仿宋" w:cs="仿宋"/>
          <w:b/>
        </w:rPr>
      </w:pPr>
    </w:p>
    <w:p>
      <w:pPr>
        <w:spacing w:line="360" w:lineRule="auto"/>
        <w:jc w:val="center"/>
        <w:rPr>
          <w:rFonts w:ascii="仿宋" w:hAnsi="仿宋" w:eastAsia="仿宋" w:cs="仿宋"/>
          <w:b/>
          <w:sz w:val="28"/>
          <w:szCs w:val="32"/>
        </w:rPr>
      </w:pPr>
    </w:p>
    <w:p>
      <w:pPr>
        <w:snapToGrid w:val="0"/>
        <w:spacing w:line="360" w:lineRule="auto"/>
        <w:ind w:firstLine="2891" w:firstLineChars="900"/>
        <w:rPr>
          <w:rFonts w:ascii="仿宋" w:hAnsi="仿宋" w:eastAsia="仿宋" w:cs="仿宋"/>
          <w:b/>
          <w:kern w:val="0"/>
          <w:sz w:val="36"/>
          <w:szCs w:val="36"/>
        </w:rPr>
      </w:pPr>
      <w:r>
        <w:rPr>
          <w:rFonts w:hint="eastAsia" w:ascii="仿宋" w:hAnsi="仿宋" w:eastAsia="仿宋" w:cs="仿宋"/>
          <w:b/>
          <w:bCs/>
          <w:sz w:val="32"/>
          <w:szCs w:val="32"/>
        </w:rPr>
        <w:br w:type="page"/>
      </w:r>
      <w:r>
        <w:rPr>
          <w:rFonts w:hint="eastAsia" w:ascii="仿宋" w:hAnsi="仿宋" w:eastAsia="仿宋" w:cs="仿宋"/>
          <w:sz w:val="36"/>
          <w:szCs w:val="36"/>
          <w:lang w:val="zh-CN"/>
        </w:rPr>
        <w:t>▲</w:t>
      </w: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outlineLvl w:val="0"/>
        <w:rPr>
          <w:rFonts w:ascii="仿宋" w:hAnsi="仿宋" w:eastAsia="仿宋" w:cs="仿宋"/>
          <w:sz w:val="24"/>
        </w:rPr>
        <w:sectPr>
          <w:headerReference r:id="rId10" w:type="first"/>
          <w:footerReference r:id="rId13" w:type="first"/>
          <w:headerReference r:id="rId8" w:type="default"/>
          <w:footerReference r:id="rId11" w:type="default"/>
          <w:headerReference r:id="rId9" w:type="even"/>
          <w:footerReference r:id="rId12" w:type="even"/>
          <w:pgSz w:w="11906" w:h="16838"/>
          <w:pgMar w:top="1247" w:right="1418" w:bottom="1276" w:left="1418" w:header="851" w:footer="992" w:gutter="0"/>
          <w:cols w:space="720" w:num="1"/>
          <w:titlePg/>
          <w:docGrid w:linePitch="312" w:charSpace="0"/>
        </w:sectPr>
      </w:pPr>
      <w:r>
        <w:rPr>
          <w:rFonts w:hint="eastAsia" w:ascii="仿宋" w:hAnsi="仿宋" w:eastAsia="仿宋" w:cs="仿宋"/>
          <w:kern w:val="0"/>
          <w:sz w:val="24"/>
        </w:rPr>
        <w:t>投标（开标）一览表…………………………………………（页码）</w:t>
      </w:r>
    </w:p>
    <w:p>
      <w:pPr>
        <w:pStyle w:val="597"/>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1"/>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质保或服务年限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；采购内容未包含在《开标一览表（报价表）》名称栏中，投标人不能作出合理解释的，</w:t>
      </w:r>
      <w:r>
        <w:rPr>
          <w:rFonts w:hint="eastAsia" w:ascii="仿宋_GB2312" w:hAnsi="仿宋" w:eastAsia="仿宋_GB2312" w:cs="仿宋_GB2312"/>
          <w:b/>
          <w:kern w:val="0"/>
          <w:sz w:val="24"/>
        </w:rPr>
        <w:t>视为</w:t>
      </w:r>
      <w:r>
        <w:rPr>
          <w:rFonts w:hint="eastAsia" w:ascii="仿宋_GB2312" w:hAnsi="仿宋" w:eastAsia="仿宋_GB2312"/>
          <w:b/>
          <w:sz w:val="24"/>
        </w:rPr>
        <w:t>投标文件含有采购人不能接受的附加条件的，投标无效。</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jc w:val="center"/>
        <w:rPr>
          <w:rFonts w:ascii="仿宋" w:hAnsi="仿宋" w:eastAsia="仿宋" w:cs="仿宋"/>
          <w:b/>
          <w:kern w:val="0"/>
          <w:sz w:val="36"/>
          <w:szCs w:val="36"/>
        </w:rPr>
        <w:sectPr>
          <w:headerReference r:id="rId14" w:type="default"/>
          <w:footerReference r:id="rId15" w:type="default"/>
          <w:pgSz w:w="16838" w:h="11906" w:orient="landscape"/>
          <w:pgMar w:top="1418" w:right="1247" w:bottom="1418" w:left="1276" w:header="851" w:footer="992" w:gutter="0"/>
          <w:cols w:space="720" w:num="1"/>
        </w:sectPr>
      </w:pPr>
    </w:p>
    <w:p>
      <w:pPr>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（3）符合性审查资料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（4）评标标准相应的商务技术资料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（5）商务技术偏离表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6</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pacing w:line="360" w:lineRule="auto"/>
        <w:rPr>
          <w:rFonts w:ascii="仿宋" w:hAnsi="仿宋" w:eastAsia="仿宋" w:cs="仿宋"/>
          <w:b/>
          <w:bCs/>
          <w:sz w:val="24"/>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（采购人名称）、（采购代理机构名称）：</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我方参加你方组织的XXX采购项目【交易编号：XXXXXX】交易的有关活动，并对此项目进行投标。为此：</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2.1.2落实政府采购政策需满足的资格要求；</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2.1.3本项目的特定资格要求。</w:t>
      </w:r>
    </w:p>
    <w:p>
      <w:pPr>
        <w:snapToGrid w:val="0"/>
        <w:spacing w:line="400" w:lineRule="exact"/>
        <w:ind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2.2.1投标函；</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2.2.3符合性审查资料；</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2.2.4评标标准相应的商务技术资料；</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2.2.5商务技术偏离表；</w:t>
      </w:r>
    </w:p>
    <w:p>
      <w:pPr>
        <w:snapToGrid w:val="0"/>
        <w:spacing w:line="400" w:lineRule="exact"/>
        <w:ind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6</w:t>
      </w:r>
      <w:r>
        <w:rPr>
          <w:rFonts w:hint="eastAsia" w:ascii="仿宋" w:hAnsi="仿宋" w:eastAsia="仿宋" w:cs="仿宋"/>
          <w:sz w:val="24"/>
          <w:lang w:val="zh-CN"/>
        </w:rPr>
        <w:t>政府采购供应商廉洁自律承诺书；</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3、我方承诺除商务技术偏离表列出的偏离外，我方响应交易文件的全部要求。</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 xml:space="preserve">4.3按照交易文件要求提交履约保证金； </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5、其他补充说明:。</w:t>
      </w:r>
    </w:p>
    <w:p>
      <w:pPr>
        <w:spacing w:line="400" w:lineRule="exact"/>
        <w:ind w:firstLine="3600" w:firstLineChars="1500"/>
        <w:rPr>
          <w:rFonts w:ascii="仿宋" w:hAnsi="仿宋" w:eastAsia="仿宋" w:cs="仿宋"/>
          <w:sz w:val="24"/>
        </w:rPr>
      </w:pPr>
      <w:r>
        <w:rPr>
          <w:rFonts w:hint="eastAsia" w:ascii="仿宋" w:hAnsi="仿宋" w:eastAsia="仿宋" w:cs="仿宋"/>
          <w:sz w:val="24"/>
        </w:rPr>
        <w:t xml:space="preserve">供应商名称（电子签章）：                          </w:t>
      </w:r>
    </w:p>
    <w:p>
      <w:pPr>
        <w:spacing w:line="400" w:lineRule="exact"/>
        <w:jc w:val="center"/>
        <w:rPr>
          <w:rFonts w:ascii="仿宋" w:hAnsi="仿宋" w:eastAsia="仿宋" w:cs="仿宋"/>
          <w:sz w:val="24"/>
        </w:rPr>
      </w:pPr>
      <w:r>
        <w:rPr>
          <w:rFonts w:hint="eastAsia" w:ascii="仿宋" w:hAnsi="仿宋" w:eastAsia="仿宋" w:cs="仿宋"/>
          <w:sz w:val="24"/>
        </w:rPr>
        <w:t xml:space="preserve">     日期：  年   月   日</w:t>
      </w:r>
    </w:p>
    <w:p>
      <w:pPr>
        <w:widowControl/>
        <w:adjustRightInd/>
        <w:jc w:val="left"/>
        <w:rPr>
          <w:rFonts w:ascii="仿宋" w:hAnsi="仿宋" w:eastAsia="仿宋" w:cs="仿宋"/>
          <w:kern w:val="0"/>
          <w:sz w:val="24"/>
          <w:u w:val="single"/>
          <w:lang w:val="zh-CN"/>
        </w:rPr>
      </w:pPr>
      <w:r>
        <w:rPr>
          <w:rFonts w:hint="eastAsia" w:ascii="仿宋" w:hAnsi="仿宋" w:eastAsia="仿宋" w:cs="仿宋"/>
          <w:kern w:val="0"/>
          <w:sz w:val="24"/>
          <w:u w:val="single"/>
          <w:lang w:val="zh-CN"/>
        </w:rPr>
        <w:br w:type="page"/>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身份证明</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（采购人名称）、（采购代理机构名称）</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杭州市XXX采购项目【交易编号：XXXXXX】</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供应商名称(电子签章)：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lang w:val="zh-CN"/>
        </w:rPr>
      </w:pP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的身份证明（适用于法定代表人、单位负责人或者自然人本人代表供应商参加投标）</w:t>
      </w:r>
    </w:p>
    <w:p>
      <w:pPr>
        <w:pStyle w:val="618"/>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18"/>
              <w:spacing w:line="360" w:lineRule="auto"/>
              <w:rPr>
                <w:rFonts w:ascii="仿宋" w:hAnsi="仿宋" w:eastAsia="仿宋" w:cs="仿宋"/>
                <w:bCs/>
                <w:sz w:val="24"/>
              </w:rPr>
            </w:pPr>
            <w:r>
              <w:rPr>
                <w:rFonts w:hint="eastAsia" w:ascii="仿宋" w:hAnsi="仿宋" w:eastAsia="仿宋" w:cs="仿宋"/>
                <w:bCs/>
                <w:sz w:val="24"/>
              </w:rPr>
              <w:t>正面：                                 反面：</w:t>
            </w:r>
          </w:p>
          <w:p>
            <w:pPr>
              <w:pStyle w:val="618"/>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营业执照复印件：</w:t>
      </w: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供应商名称(电子签章)：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w:t>
      </w: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rPr>
        <w:t>三、符合性审查资料索引表及具体内容</w:t>
      </w:r>
    </w:p>
    <w:p>
      <w:pPr>
        <w:jc w:val="center"/>
        <w:rPr>
          <w:rFonts w:ascii="仿宋" w:hAnsi="仿宋" w:eastAsia="仿宋" w:cs="仿宋"/>
          <w:b/>
          <w:kern w:val="0"/>
          <w:sz w:val="32"/>
          <w:szCs w:val="32"/>
        </w:rPr>
      </w:pPr>
      <w:r>
        <w:rPr>
          <w:rFonts w:hint="eastAsia" w:ascii="仿宋" w:hAnsi="仿宋" w:eastAsia="仿宋" w:cs="仿宋"/>
          <w:b/>
          <w:kern w:val="0"/>
          <w:sz w:val="32"/>
          <w:szCs w:val="32"/>
        </w:rPr>
        <w:t>（一）符合性审查资料索引表</w:t>
      </w:r>
    </w:p>
    <w:tbl>
      <w:tblPr>
        <w:tblStyle w:val="61"/>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188"/>
        <w:gridCol w:w="235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518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354"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仿宋" w:hAnsi="仿宋" w:eastAsia="仿宋" w:cs="仿宋"/>
                <w:sz w:val="24"/>
              </w:rPr>
            </w:pPr>
            <w:r>
              <w:rPr>
                <w:rFonts w:hint="eastAsia" w:ascii="仿宋" w:hAnsi="仿宋" w:eastAsia="仿宋" w:cs="仿宋"/>
                <w:sz w:val="24"/>
              </w:rPr>
              <w:t>1</w:t>
            </w:r>
          </w:p>
        </w:tc>
        <w:tc>
          <w:tcPr>
            <w:tcW w:w="5188" w:type="dxa"/>
          </w:tcPr>
          <w:p>
            <w:pPr>
              <w:spacing w:line="360" w:lineRule="auto"/>
              <w:rPr>
                <w:rFonts w:ascii="仿宋" w:hAnsi="仿宋" w:eastAsia="仿宋" w:cs="仿宋"/>
                <w:sz w:val="24"/>
              </w:rPr>
            </w:pPr>
            <w:r>
              <w:rPr>
                <w:rFonts w:hint="eastAsia" w:ascii="仿宋" w:hAnsi="仿宋" w:eastAsia="仿宋" w:cs="仿宋"/>
                <w:sz w:val="24"/>
              </w:rPr>
              <w:t>不存在如下情形：投标文件未按照交易文件要求签署、盖章。</w:t>
            </w:r>
          </w:p>
        </w:tc>
        <w:tc>
          <w:tcPr>
            <w:tcW w:w="2354" w:type="dxa"/>
            <w:vAlign w:val="center"/>
          </w:tcPr>
          <w:p>
            <w:pPr>
              <w:rPr>
                <w:rFonts w:ascii="仿宋" w:hAnsi="仿宋" w:eastAsia="仿宋" w:cs="仿宋"/>
                <w:sz w:val="24"/>
              </w:rPr>
            </w:pPr>
            <w:r>
              <w:rPr>
                <w:rFonts w:hint="eastAsia" w:ascii="仿宋" w:hAnsi="仿宋" w:eastAsia="仿宋" w:cs="仿宋"/>
                <w:sz w:val="24"/>
              </w:rPr>
              <w:t xml:space="preserve">投标文件的组成部分中需要使用电子签章或者签字盖章处 </w:t>
            </w:r>
          </w:p>
        </w:tc>
        <w:tc>
          <w:tcPr>
            <w:tcW w:w="1418" w:type="dxa"/>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见投标文件</w:t>
            </w:r>
          </w:p>
          <w:p>
            <w:pPr>
              <w:jc w:val="center"/>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5188" w:type="dxa"/>
          </w:tcPr>
          <w:p>
            <w:pPr>
              <w:spacing w:line="360" w:lineRule="auto"/>
              <w:rPr>
                <w:rFonts w:ascii="仿宋" w:hAnsi="仿宋" w:eastAsia="仿宋" w:cs="仿宋"/>
                <w:sz w:val="24"/>
              </w:rPr>
            </w:pPr>
            <w:r>
              <w:rPr>
                <w:rFonts w:hint="eastAsia" w:ascii="仿宋" w:hAnsi="仿宋" w:eastAsia="仿宋" w:cs="仿宋"/>
                <w:sz w:val="24"/>
              </w:rPr>
              <w:t>不存在如下情形：采购人拟采购的产品属于政府强制采购的节能产品品目清单范围的，供应商未按交易文件要求提供国家确定的认证机构出具的、处于有效期之内的节能产品认证证书、环境标志产品认证证书。</w:t>
            </w:r>
          </w:p>
        </w:tc>
        <w:tc>
          <w:tcPr>
            <w:tcW w:w="2354" w:type="dxa"/>
            <w:vAlign w:val="center"/>
          </w:tcPr>
          <w:p>
            <w:pPr>
              <w:rPr>
                <w:rFonts w:ascii="仿宋" w:hAnsi="仿宋" w:eastAsia="仿宋" w:cs="仿宋"/>
                <w:sz w:val="24"/>
              </w:rPr>
            </w:pPr>
            <w:r>
              <w:rPr>
                <w:rFonts w:hint="eastAsia" w:ascii="仿宋" w:hAnsi="仿宋" w:eastAsia="仿宋" w:cs="仿宋"/>
                <w:sz w:val="24"/>
              </w:rPr>
              <w:t>节能产品认证证书、环境标志产品认证证书（交易文件未要求的，无需提供）</w:t>
            </w:r>
          </w:p>
        </w:tc>
        <w:tc>
          <w:tcPr>
            <w:tcW w:w="1418" w:type="dxa"/>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见投标文件</w:t>
            </w:r>
          </w:p>
          <w:p>
            <w:pPr>
              <w:pStyle w:val="5"/>
              <w:numPr>
                <w:ilvl w:val="0"/>
                <w:numId w:val="0"/>
              </w:numPr>
              <w:ind w:left="432"/>
              <w:jc w:val="center"/>
              <w:rPr>
                <w:rFonts w:ascii="仿宋" w:eastAsia="仿宋" w:cs="仿宋"/>
                <w:lang w:val="en-US"/>
              </w:rPr>
            </w:pPr>
            <w:r>
              <w:rPr>
                <w:rFonts w:hint="eastAsia" w:ascii="仿宋" w:eastAsia="仿宋" w:cs="仿宋"/>
                <w:b w:val="0"/>
                <w:bCs w:val="0"/>
                <w:sz w:val="24"/>
                <w:szCs w:val="24"/>
                <w:lang w:val="en-US"/>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仿宋" w:hAnsi="仿宋" w:eastAsia="仿宋" w:cs="仿宋"/>
                <w:sz w:val="24"/>
              </w:rPr>
            </w:pPr>
            <w:r>
              <w:rPr>
                <w:rFonts w:hint="eastAsia" w:ascii="仿宋" w:hAnsi="仿宋" w:eastAsia="仿宋" w:cs="仿宋"/>
                <w:sz w:val="24"/>
              </w:rPr>
              <w:t>3</w:t>
            </w:r>
          </w:p>
        </w:tc>
        <w:tc>
          <w:tcPr>
            <w:tcW w:w="5188" w:type="dxa"/>
          </w:tcPr>
          <w:p>
            <w:pPr>
              <w:spacing w:line="360" w:lineRule="auto"/>
              <w:rPr>
                <w:rFonts w:ascii="仿宋" w:hAnsi="仿宋" w:eastAsia="仿宋" w:cs="仿宋"/>
                <w:sz w:val="24"/>
              </w:rPr>
            </w:pPr>
            <w:r>
              <w:rPr>
                <w:rFonts w:hint="eastAsia" w:ascii="仿宋" w:hAnsi="仿宋" w:eastAsia="仿宋" w:cs="仿宋"/>
                <w:sz w:val="24"/>
              </w:rPr>
              <w:t>不存在如下情形：投标文件中承诺的投标有效期少于交易文件中载明的投标有效期。</w:t>
            </w:r>
          </w:p>
        </w:tc>
        <w:tc>
          <w:tcPr>
            <w:tcW w:w="2354"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jc w:val="center"/>
              <w:rPr>
                <w:rFonts w:ascii="仿宋" w:hAnsi="仿宋" w:eastAsia="仿宋" w:cs="仿宋"/>
              </w:rPr>
            </w:pPr>
            <w:r>
              <w:rPr>
                <w:rFonts w:hint="eastAsia" w:ascii="仿宋" w:hAnsi="仿宋" w:eastAsia="仿宋" w:cs="仿宋"/>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仿宋" w:hAnsi="仿宋" w:eastAsia="仿宋" w:cs="仿宋"/>
                <w:sz w:val="24"/>
              </w:rPr>
            </w:pPr>
            <w:r>
              <w:rPr>
                <w:rFonts w:hint="eastAsia" w:ascii="仿宋" w:hAnsi="仿宋" w:eastAsia="仿宋" w:cs="仿宋"/>
                <w:sz w:val="24"/>
              </w:rPr>
              <w:t>4</w:t>
            </w:r>
          </w:p>
        </w:tc>
        <w:tc>
          <w:tcPr>
            <w:tcW w:w="5188" w:type="dxa"/>
          </w:tcPr>
          <w:p>
            <w:pPr>
              <w:spacing w:line="360" w:lineRule="auto"/>
              <w:rPr>
                <w:rFonts w:ascii="仿宋" w:hAnsi="仿宋" w:eastAsia="仿宋" w:cs="仿宋"/>
                <w:sz w:val="24"/>
              </w:rPr>
            </w:pPr>
            <w:r>
              <w:rPr>
                <w:rFonts w:hint="eastAsia" w:ascii="仿宋" w:hAnsi="仿宋" w:eastAsia="仿宋" w:cs="仿宋"/>
                <w:sz w:val="24"/>
              </w:rPr>
              <w:t>不存在如下情形：投标文件不满足交易文件的其它实质性要求。</w:t>
            </w:r>
          </w:p>
        </w:tc>
        <w:tc>
          <w:tcPr>
            <w:tcW w:w="2354" w:type="dxa"/>
            <w:vAlign w:val="center"/>
          </w:tcPr>
          <w:p>
            <w:pPr>
              <w:rPr>
                <w:rFonts w:ascii="仿宋" w:hAnsi="仿宋" w:eastAsia="仿宋" w:cs="仿宋"/>
                <w:sz w:val="24"/>
              </w:rPr>
            </w:pPr>
            <w:r>
              <w:rPr>
                <w:rFonts w:hint="eastAsia" w:ascii="仿宋" w:hAnsi="仿宋" w:eastAsia="仿宋" w:cs="仿宋"/>
                <w:kern w:val="0"/>
                <w:sz w:val="24"/>
              </w:rPr>
              <w:t>交易文件其它实质性要求相应的材料（交易文件未要求的，无需提供）</w:t>
            </w:r>
          </w:p>
        </w:tc>
        <w:tc>
          <w:tcPr>
            <w:tcW w:w="1418" w:type="dxa"/>
          </w:tcPr>
          <w:p>
            <w:pPr>
              <w:jc w:val="center"/>
              <w:rPr>
                <w:rFonts w:ascii="仿宋" w:hAnsi="仿宋" w:eastAsia="仿宋" w:cs="仿宋"/>
              </w:rPr>
            </w:pPr>
            <w:r>
              <w:rPr>
                <w:rFonts w:hint="eastAsia" w:ascii="仿宋" w:hAnsi="仿宋" w:eastAsia="仿宋" w:cs="仿宋"/>
                <w:sz w:val="24"/>
              </w:rPr>
              <w:t>见投标文件第页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（二）符合性审查资料具体内容</w:t>
      </w:r>
    </w:p>
    <w:p>
      <w:pPr>
        <w:rPr>
          <w:rFonts w:ascii="仿宋" w:hAnsi="仿宋" w:eastAsia="仿宋" w:cs="仿宋"/>
          <w:b/>
          <w:kern w:val="0"/>
          <w:sz w:val="32"/>
          <w:szCs w:val="32"/>
        </w:rPr>
      </w:pPr>
      <w:r>
        <w:rPr>
          <w:rFonts w:hint="eastAsia" w:ascii="仿宋" w:hAnsi="仿宋" w:eastAsia="仿宋" w:cs="仿宋"/>
          <w:sz w:val="24"/>
        </w:rPr>
        <w:t xml:space="preserve">1、投标文件的组成部分中需要使用电子签章或者签字盖章处（详见投标文件第页） </w:t>
      </w:r>
    </w:p>
    <w:p>
      <w:pPr>
        <w:rPr>
          <w:rFonts w:ascii="仿宋" w:hAnsi="仿宋" w:eastAsia="仿宋" w:cs="仿宋"/>
          <w:kern w:val="0"/>
          <w:sz w:val="24"/>
        </w:rPr>
      </w:pPr>
      <w:r>
        <w:rPr>
          <w:rFonts w:hint="eastAsia" w:ascii="仿宋" w:hAnsi="仿宋" w:eastAsia="仿宋" w:cs="仿宋"/>
          <w:kern w:val="0"/>
          <w:sz w:val="24"/>
        </w:rPr>
        <w:t>2、节能产品认证证书</w:t>
      </w:r>
      <w:r>
        <w:rPr>
          <w:rFonts w:hint="eastAsia" w:ascii="仿宋" w:hAnsi="仿宋" w:eastAsia="仿宋" w:cs="仿宋"/>
          <w:sz w:val="24"/>
        </w:rPr>
        <w:t>、环境标志产品认证证书</w:t>
      </w:r>
      <w:r>
        <w:rPr>
          <w:rFonts w:hint="eastAsia" w:ascii="仿宋" w:hAnsi="仿宋" w:eastAsia="仿宋" w:cs="仿宋"/>
          <w:kern w:val="0"/>
          <w:sz w:val="24"/>
        </w:rPr>
        <w:t>（交易文件未要求的，无需提供）</w:t>
      </w:r>
    </w:p>
    <w:p>
      <w:pPr>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sz w:val="24"/>
        </w:rPr>
        <w:t>投标函（详见投标文件第页）</w:t>
      </w:r>
    </w:p>
    <w:p>
      <w:pPr>
        <w:rPr>
          <w:rFonts w:ascii="仿宋" w:hAnsi="仿宋" w:eastAsia="仿宋" w:cs="仿宋"/>
          <w:kern w:val="0"/>
          <w:sz w:val="24"/>
        </w:rPr>
      </w:pPr>
      <w:r>
        <w:rPr>
          <w:rFonts w:hint="eastAsia" w:ascii="仿宋" w:hAnsi="仿宋" w:eastAsia="仿宋" w:cs="仿宋"/>
          <w:kern w:val="0"/>
          <w:sz w:val="24"/>
        </w:rPr>
        <w:t>4、交易文件其它实质性要求相应的材料（交易文件未要求的，无需提供）</w:t>
      </w:r>
    </w:p>
    <w:p>
      <w:pPr>
        <w:rPr>
          <w:rFonts w:ascii="仿宋" w:hAnsi="仿宋" w:eastAsia="仿宋" w:cs="仿宋"/>
        </w:rPr>
      </w:pPr>
    </w:p>
    <w:p>
      <w:pPr>
        <w:jc w:val="center"/>
        <w:rPr>
          <w:rFonts w:ascii="仿宋" w:hAnsi="仿宋" w:eastAsia="仿宋" w:cs="仿宋"/>
          <w:b/>
          <w:kern w:val="0"/>
          <w:sz w:val="32"/>
          <w:szCs w:val="32"/>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numPr>
          <w:ilvl w:val="0"/>
          <w:numId w:val="9"/>
        </w:numPr>
        <w:jc w:val="center"/>
        <w:rPr>
          <w:rFonts w:ascii="仿宋" w:hAnsi="仿宋" w:eastAsia="仿宋" w:cs="仿宋"/>
          <w:b/>
          <w:kern w:val="0"/>
          <w:sz w:val="32"/>
          <w:szCs w:val="32"/>
        </w:rPr>
      </w:pPr>
      <w:r>
        <w:rPr>
          <w:rFonts w:hint="eastAsia" w:ascii="仿宋" w:hAnsi="仿宋" w:eastAsia="仿宋" w:cs="仿宋"/>
          <w:b/>
          <w:kern w:val="0"/>
          <w:sz w:val="32"/>
          <w:szCs w:val="32"/>
        </w:rPr>
        <w:t>评标标准相应的商务技术资料</w:t>
      </w:r>
    </w:p>
    <w:p>
      <w:pPr>
        <w:pStyle w:val="41"/>
        <w:rPr>
          <w:rFonts w:ascii="仿宋" w:hAnsi="仿宋" w:eastAsia="仿宋" w:cs="仿宋"/>
        </w:rPr>
      </w:pPr>
    </w:p>
    <w:p>
      <w:pPr>
        <w:snapToGrid w:val="0"/>
        <w:spacing w:line="360" w:lineRule="auto"/>
        <w:jc w:val="left"/>
        <w:rPr>
          <w:rFonts w:ascii="仿宋" w:hAnsi="仿宋" w:eastAsia="仿宋" w:cs="仿宋"/>
          <w:b/>
          <w:sz w:val="24"/>
        </w:rPr>
      </w:pPr>
      <w:r>
        <w:rPr>
          <w:rFonts w:hint="eastAsia" w:ascii="仿宋" w:hAnsi="仿宋" w:eastAsia="仿宋" w:cs="仿宋"/>
          <w:b/>
          <w:sz w:val="24"/>
        </w:rPr>
        <w:t>（按交易文件第四部分评标办法前附表中“投标文件中评标标准相应的商务技术资料目录”提供资料）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numPr>
          <w:ilvl w:val="0"/>
          <w:numId w:val="9"/>
        </w:numPr>
        <w:jc w:val="center"/>
        <w:rPr>
          <w:rFonts w:ascii="仿宋" w:hAnsi="仿宋" w:eastAsia="仿宋" w:cs="仿宋"/>
          <w:b/>
          <w:kern w:val="0"/>
          <w:sz w:val="32"/>
          <w:szCs w:val="32"/>
        </w:rPr>
      </w:pPr>
      <w:r>
        <w:rPr>
          <w:rFonts w:hint="eastAsia" w:ascii="仿宋" w:hAnsi="仿宋" w:eastAsia="仿宋" w:cs="仿宋"/>
          <w:b/>
          <w:kern w:val="0"/>
          <w:sz w:val="32"/>
          <w:szCs w:val="32"/>
        </w:rPr>
        <w:t>商务技术偏离表</w:t>
      </w:r>
    </w:p>
    <w:p>
      <w:pPr>
        <w:pStyle w:val="41"/>
        <w:rPr>
          <w:rFonts w:ascii="仿宋" w:hAnsi="仿宋" w:eastAsia="仿宋" w:cs="仿宋"/>
        </w:rPr>
      </w:pPr>
    </w:p>
    <w:tbl>
      <w:tblPr>
        <w:tblStyle w:val="62"/>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交易文件章节及具体内容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b/>
                <w:kern w:val="0"/>
                <w:sz w:val="32"/>
                <w:szCs w:val="32"/>
              </w:rPr>
            </w:pPr>
            <w:r>
              <w:rPr>
                <w:rFonts w:hint="eastAsia" w:ascii="仿宋" w:hAnsi="仿宋" w:eastAsia="仿宋" w:cs="仿宋"/>
                <w:b/>
                <w:kern w:val="0"/>
                <w:sz w:val="32"/>
                <w:szCs w:val="32"/>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b/>
                <w:kern w:val="0"/>
                <w:sz w:val="32"/>
                <w:szCs w:val="32"/>
              </w:rPr>
            </w:pPr>
            <w:r>
              <w:rPr>
                <w:rFonts w:hint="eastAsia" w:ascii="仿宋" w:hAnsi="仿宋" w:eastAsia="仿宋" w:cs="仿宋"/>
                <w:b/>
                <w:kern w:val="0"/>
                <w:sz w:val="32"/>
                <w:szCs w:val="32"/>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tcPr>
          <w:p>
            <w:pPr>
              <w:jc w:val="center"/>
              <w:rPr>
                <w:rFonts w:ascii="仿宋" w:hAnsi="仿宋" w:eastAsia="仿宋" w:cs="仿宋"/>
                <w:b/>
                <w:kern w:val="0"/>
                <w:sz w:val="32"/>
                <w:szCs w:val="32"/>
              </w:rPr>
            </w:pPr>
            <w:r>
              <w:rPr>
                <w:rFonts w:hint="eastAsia" w:ascii="仿宋" w:hAnsi="仿宋" w:eastAsia="仿宋" w:cs="仿宋"/>
                <w:b/>
                <w:kern w:val="0"/>
                <w:sz w:val="32"/>
                <w:szCs w:val="32"/>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供应商保证：除商务技术偏离表列出的偏离外，供应商响应交易文件的全部要求</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numPr>
          <w:ilvl w:val="0"/>
          <w:numId w:val="9"/>
        </w:num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政府采购供应商廉洁自律承诺书</w:t>
      </w:r>
    </w:p>
    <w:p>
      <w:pPr>
        <w:pStyle w:val="41"/>
        <w:rPr>
          <w:rFonts w:ascii="仿宋" w:hAnsi="仿宋" w:eastAsia="仿宋" w:cs="仿宋"/>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（采购人名称）、（采购代理机构名称）</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项目交易要求参加投标。在这次投标过程中和中标后，我们将严格遵守国家法律法规要求，并郑重承诺：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交易投标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供应商名称（</w:t>
      </w:r>
      <w:r>
        <w:rPr>
          <w:rFonts w:hint="eastAsia" w:ascii="仿宋" w:hAnsi="仿宋" w:eastAsia="仿宋" w:cs="仿宋"/>
          <w:sz w:val="24"/>
        </w:rPr>
        <w:t>电子签章</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numPr>
          <w:ilvl w:val="0"/>
          <w:numId w:val="10"/>
        </w:numPr>
        <w:spacing w:line="360" w:lineRule="auto"/>
        <w:jc w:val="center"/>
        <w:rPr>
          <w:rFonts w:ascii="仿宋" w:hAnsi="仿宋" w:eastAsia="仿宋" w:cs="仿宋"/>
          <w:b/>
          <w:bCs/>
          <w:kern w:val="0"/>
          <w:sz w:val="24"/>
        </w:rPr>
        <w:sectPr>
          <w:pgSz w:w="11906" w:h="16838"/>
          <w:pgMar w:top="1247" w:right="1418" w:bottom="1276" w:left="1418" w:header="851" w:footer="992" w:gutter="0"/>
          <w:cols w:space="720" w:num="1"/>
        </w:sectPr>
      </w:pPr>
    </w:p>
    <w:p>
      <w:pPr>
        <w:spacing w:line="360" w:lineRule="auto"/>
        <w:ind w:right="420"/>
        <w:rPr>
          <w:rFonts w:ascii="仿宋" w:hAnsi="仿宋" w:eastAsia="仿宋" w:cs="仿宋"/>
          <w:b/>
          <w:sz w:val="24"/>
        </w:rPr>
      </w:pPr>
    </w:p>
    <w:p>
      <w:pPr>
        <w:pStyle w:val="4"/>
        <w:rPr>
          <w:rFonts w:cs="仿宋"/>
          <w:color w:val="auto"/>
        </w:rPr>
      </w:pPr>
      <w:bookmarkStart w:id="429" w:name="_Toc465665161"/>
      <w:r>
        <w:rPr>
          <w:rFonts w:hint="eastAsia" w:cs="仿宋"/>
          <w:color w:val="auto"/>
        </w:rPr>
        <w:t>附件</w:t>
      </w:r>
      <w:bookmarkEnd w:id="429"/>
    </w:p>
    <w:p>
      <w:pPr>
        <w:rPr>
          <w:rFonts w:ascii="仿宋" w:hAnsi="仿宋" w:eastAsia="仿宋" w:cs="仿宋"/>
        </w:rPr>
      </w:pPr>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 xml:space="preserve">地址：邮箱： </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 邮编：</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质疑项目的编号：标项号：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p>
    <w:p>
      <w:pPr>
        <w:spacing w:line="360" w:lineRule="auto"/>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被投诉人1：</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p>
    <w:p>
      <w:pPr>
        <w:spacing w:line="360" w:lineRule="auto"/>
        <w:rPr>
          <w:rFonts w:ascii="仿宋" w:hAnsi="仿宋" w:eastAsia="仿宋" w:cs="仿宋"/>
          <w:sz w:val="24"/>
          <w:u w:val="single"/>
        </w:rPr>
      </w:pPr>
      <w:r>
        <w:rPr>
          <w:rFonts w:hint="eastAsia" w:ascii="仿宋" w:hAnsi="仿宋" w:eastAsia="仿宋" w:cs="仿宋"/>
          <w:sz w:val="24"/>
        </w:rPr>
        <w:t>采购项目编号：包号：</w:t>
      </w:r>
    </w:p>
    <w:p>
      <w:pPr>
        <w:spacing w:line="360" w:lineRule="auto"/>
        <w:rPr>
          <w:rFonts w:ascii="仿宋" w:hAnsi="仿宋" w:eastAsia="仿宋" w:cs="仿宋"/>
          <w:sz w:val="24"/>
        </w:rPr>
      </w:pPr>
      <w:r>
        <w:rPr>
          <w:rFonts w:hint="eastAsia" w:ascii="仿宋" w:hAnsi="仿宋" w:eastAsia="仿宋" w:cs="仿宋"/>
          <w:sz w:val="24"/>
        </w:rPr>
        <w:t>采购人名称：</w:t>
      </w:r>
    </w:p>
    <w:p>
      <w:pPr>
        <w:spacing w:line="360" w:lineRule="auto"/>
        <w:rPr>
          <w:rFonts w:ascii="仿宋" w:hAnsi="仿宋" w:eastAsia="仿宋" w:cs="仿宋"/>
          <w:sz w:val="24"/>
          <w:u w:val="single"/>
        </w:rPr>
      </w:pPr>
      <w:r>
        <w:rPr>
          <w:rFonts w:hint="eastAsia" w:ascii="仿宋" w:hAnsi="仿宋" w:eastAsia="仿宋" w:cs="仿宋"/>
          <w:sz w:val="24"/>
        </w:rPr>
        <w:t>采购代理机构名称：</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ascii="仿宋" w:hAnsi="仿宋" w:eastAsia="仿宋" w:cs="仿宋"/>
          <w:sz w:val="24"/>
          <w:u w:val="dotted"/>
        </w:rPr>
      </w:pP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采购人/采购代理机构</w:t>
      </w:r>
      <w:r>
        <w:rPr>
          <w:rFonts w:hint="eastAsia" w:ascii="仿宋" w:hAnsi="仿宋" w:eastAsia="仿宋" w:cs="仿宋"/>
          <w:sz w:val="24"/>
        </w:rPr>
        <w:t>于年月日,就质疑事项作出了答复/没有在法定期限内作出答复。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p>
    <w:p>
      <w:pPr>
        <w:spacing w:line="360" w:lineRule="auto"/>
        <w:rPr>
          <w:rFonts w:ascii="仿宋" w:hAnsi="仿宋" w:eastAsia="仿宋" w:cs="仿宋"/>
          <w:sz w:val="24"/>
        </w:rPr>
      </w:pPr>
      <w:r>
        <w:rPr>
          <w:rFonts w:hint="eastAsia" w:ascii="仿宋" w:hAnsi="仿宋" w:eastAsia="仿宋" w:cs="仿宋"/>
          <w:sz w:val="24"/>
        </w:rPr>
        <w:t>事实依据：</w:t>
      </w:r>
    </w:p>
    <w:p>
      <w:pPr>
        <w:spacing w:line="360" w:lineRule="auto"/>
        <w:rPr>
          <w:rFonts w:ascii="仿宋" w:hAnsi="仿宋" w:eastAsia="仿宋" w:cs="仿宋"/>
          <w:sz w:val="24"/>
          <w:u w:val="dotted"/>
        </w:rPr>
      </w:pPr>
    </w:p>
    <w:p>
      <w:pPr>
        <w:spacing w:line="360" w:lineRule="auto"/>
        <w:rPr>
          <w:rFonts w:ascii="仿宋" w:hAnsi="仿宋" w:eastAsia="仿宋" w:cs="仿宋"/>
          <w:sz w:val="24"/>
          <w:u w:val="single"/>
        </w:rPr>
      </w:pPr>
      <w:r>
        <w:rPr>
          <w:rFonts w:hint="eastAsia" w:ascii="仿宋" w:hAnsi="仿宋" w:eastAsia="仿宋" w:cs="仿宋"/>
          <w:sz w:val="24"/>
        </w:rPr>
        <w:t>法律依据：</w:t>
      </w:r>
    </w:p>
    <w:p>
      <w:pPr>
        <w:spacing w:line="360" w:lineRule="auto"/>
        <w:rPr>
          <w:rFonts w:ascii="仿宋" w:hAnsi="仿宋" w:eastAsia="仿宋" w:cs="仿宋"/>
          <w:sz w:val="24"/>
          <w:u w:val="dotted"/>
        </w:rPr>
      </w:pP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widowControl/>
        <w:adjustRightInd/>
        <w:jc w:val="left"/>
        <w:rPr>
          <w:rFonts w:ascii="仿宋" w:hAnsi="仿宋" w:eastAsia="仿宋" w:cs="仿宋"/>
          <w:b/>
          <w:sz w:val="24"/>
        </w:rPr>
      </w:pPr>
      <w:r>
        <w:rPr>
          <w:rFonts w:hint="eastAsia" w:ascii="仿宋" w:hAnsi="仿宋" w:eastAsia="仿宋" w:cs="仿宋"/>
          <w:b/>
          <w:sz w:val="24"/>
        </w:rPr>
        <w:br w:type="page"/>
      </w:r>
    </w:p>
    <w:p>
      <w:pPr>
        <w:jc w:val="left"/>
        <w:rPr>
          <w:rFonts w:ascii="仿宋" w:hAnsi="仿宋" w:eastAsia="仿宋" w:cs="仿宋"/>
          <w:b/>
          <w:spacing w:val="6"/>
          <w:sz w:val="32"/>
          <w:szCs w:val="32"/>
        </w:rPr>
      </w:pPr>
      <w:r>
        <w:rPr>
          <w:rFonts w:hint="eastAsia" w:ascii="仿宋" w:hAnsi="仿宋" w:eastAsia="仿宋" w:cs="仿宋"/>
          <w:b/>
          <w:spacing w:val="6"/>
          <w:sz w:val="32"/>
          <w:szCs w:val="32"/>
        </w:rPr>
        <w:t>附件3 质疑答复范本</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关于*****项目质疑的答复</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质疑项目名称：</w:t>
      </w:r>
      <w:r>
        <w:rPr>
          <w:rFonts w:hint="eastAsia" w:ascii="仿宋" w:hAnsi="仿宋" w:eastAsia="仿宋" w:cs="仿宋"/>
          <w:sz w:val="24"/>
          <w:u w:val="dotted"/>
        </w:rPr>
        <w:t xml:space="preserve"> ***政府采购项目                                       </w:t>
      </w:r>
    </w:p>
    <w:p>
      <w:pPr>
        <w:snapToGrid w:val="0"/>
        <w:spacing w:line="360" w:lineRule="auto"/>
        <w:rPr>
          <w:rFonts w:ascii="仿宋" w:hAnsi="仿宋" w:eastAsia="仿宋" w:cs="仿宋"/>
          <w:sz w:val="24"/>
          <w:u w:val="dotted"/>
        </w:rPr>
      </w:pPr>
      <w:r>
        <w:rPr>
          <w:rFonts w:hint="eastAsia" w:ascii="仿宋" w:hAnsi="仿宋" w:eastAsia="仿宋" w:cs="仿宋"/>
          <w:sz w:val="24"/>
        </w:rPr>
        <w:t>质疑项目编号：</w:t>
      </w:r>
      <w:r>
        <w:rPr>
          <w:rFonts w:hint="eastAsia" w:ascii="仿宋" w:hAnsi="仿宋" w:eastAsia="仿宋" w:cs="仿宋"/>
          <w:sz w:val="24"/>
          <w:u w:val="dotted"/>
        </w:rPr>
        <w:t xml:space="preserve"> ***                                     </w:t>
      </w:r>
    </w:p>
    <w:p>
      <w:pPr>
        <w:snapToGrid w:val="0"/>
        <w:spacing w:line="360" w:lineRule="auto"/>
        <w:rPr>
          <w:rFonts w:ascii="仿宋" w:hAnsi="仿宋" w:eastAsia="仿宋" w:cs="仿宋"/>
          <w:bCs/>
          <w:sz w:val="24"/>
        </w:rPr>
      </w:pPr>
      <w:r>
        <w:rPr>
          <w:rFonts w:hint="eastAsia" w:ascii="仿宋" w:hAnsi="仿宋" w:eastAsia="仿宋" w:cs="仿宋"/>
          <w:sz w:val="24"/>
        </w:rPr>
        <w:t>本单位于  月  日收到质疑函，  月  日收到补充材料，答复内容如下。</w:t>
      </w:r>
    </w:p>
    <w:p>
      <w:pPr>
        <w:numPr>
          <w:ilvl w:val="0"/>
          <w:numId w:val="11"/>
        </w:numPr>
        <w:snapToGrid w:val="0"/>
        <w:spacing w:line="360" w:lineRule="auto"/>
        <w:jc w:val="left"/>
        <w:rPr>
          <w:rFonts w:ascii="仿宋" w:hAnsi="仿宋" w:eastAsia="仿宋" w:cs="仿宋"/>
          <w:bCs/>
          <w:sz w:val="24"/>
        </w:rPr>
      </w:pPr>
      <w:r>
        <w:rPr>
          <w:rFonts w:hint="eastAsia" w:ascii="仿宋" w:hAnsi="仿宋" w:eastAsia="仿宋" w:cs="仿宋"/>
          <w:bCs/>
          <w:sz w:val="24"/>
        </w:rPr>
        <w:t>质疑人</w:t>
      </w:r>
    </w:p>
    <w:p>
      <w:pPr>
        <w:snapToGrid w:val="0"/>
        <w:spacing w:line="360" w:lineRule="auto"/>
        <w:jc w:val="left"/>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jc w:val="left"/>
        <w:rPr>
          <w:rFonts w:ascii="仿宋" w:hAnsi="仿宋" w:eastAsia="仿宋" w:cs="仿宋"/>
          <w:sz w:val="24"/>
        </w:rPr>
      </w:pPr>
      <w:r>
        <w:rPr>
          <w:rFonts w:hint="eastAsia" w:ascii="仿宋" w:hAnsi="仿宋" w:eastAsia="仿宋" w:cs="仿宋"/>
          <w:sz w:val="24"/>
        </w:rPr>
        <w:t>地址：邮编：</w:t>
      </w:r>
    </w:p>
    <w:p>
      <w:pPr>
        <w:snapToGrid w:val="0"/>
        <w:spacing w:line="360" w:lineRule="auto"/>
        <w:jc w:val="left"/>
        <w:rPr>
          <w:rFonts w:ascii="仿宋" w:hAnsi="仿宋" w:eastAsia="仿宋" w:cs="仿宋"/>
          <w:sz w:val="24"/>
        </w:rPr>
      </w:pPr>
      <w:r>
        <w:rPr>
          <w:rFonts w:hint="eastAsia" w:ascii="仿宋" w:hAnsi="仿宋" w:eastAsia="仿宋" w:cs="仿宋"/>
          <w:sz w:val="24"/>
        </w:rPr>
        <w:t>联系人：联系电话：</w:t>
      </w:r>
      <w:r>
        <w:rPr>
          <w:rFonts w:hint="eastAsia" w:ascii="仿宋" w:hAnsi="仿宋" w:eastAsia="仿宋" w:cs="仿宋"/>
          <w:sz w:val="24"/>
          <w:u w:val="dotted"/>
        </w:rPr>
        <w:t xml:space="preserve">          /                           </w:t>
      </w:r>
    </w:p>
    <w:p>
      <w:pPr>
        <w:snapToGrid w:val="0"/>
        <w:spacing w:line="360" w:lineRule="auto"/>
        <w:jc w:val="left"/>
        <w:rPr>
          <w:rFonts w:ascii="仿宋" w:hAnsi="仿宋" w:eastAsia="仿宋" w:cs="仿宋"/>
          <w:sz w:val="24"/>
        </w:rPr>
      </w:pPr>
      <w:r>
        <w:rPr>
          <w:rFonts w:hint="eastAsia" w:ascii="仿宋" w:hAnsi="仿宋" w:eastAsia="仿宋" w:cs="仿宋"/>
          <w:sz w:val="24"/>
        </w:rPr>
        <w:t>授权代表：联系电话：</w:t>
      </w:r>
    </w:p>
    <w:p>
      <w:pPr>
        <w:snapToGrid w:val="0"/>
        <w:spacing w:line="360" w:lineRule="auto"/>
        <w:jc w:val="left"/>
        <w:rPr>
          <w:rFonts w:ascii="仿宋" w:hAnsi="仿宋" w:eastAsia="仿宋" w:cs="仿宋"/>
          <w:sz w:val="24"/>
        </w:rPr>
      </w:pPr>
      <w:r>
        <w:rPr>
          <w:rFonts w:hint="eastAsia" w:ascii="仿宋" w:hAnsi="仿宋" w:eastAsia="仿宋" w:cs="仿宋"/>
          <w:sz w:val="24"/>
        </w:rPr>
        <w:t>地址：邮箱：</w:t>
      </w:r>
    </w:p>
    <w:p>
      <w:pPr>
        <w:snapToGrid w:val="0"/>
        <w:spacing w:line="360" w:lineRule="auto"/>
        <w:rPr>
          <w:rFonts w:ascii="仿宋" w:hAnsi="仿宋" w:eastAsia="仿宋" w:cs="仿宋"/>
          <w:bCs/>
          <w:sz w:val="24"/>
        </w:rPr>
      </w:pPr>
      <w:r>
        <w:rPr>
          <w:rFonts w:hint="eastAsia" w:ascii="仿宋" w:hAnsi="仿宋" w:eastAsia="仿宋" w:cs="仿宋"/>
          <w:bCs/>
          <w:sz w:val="24"/>
        </w:rPr>
        <w:t>二、项目采购人和代理机构</w:t>
      </w:r>
    </w:p>
    <w:p>
      <w:pPr>
        <w:snapToGrid w:val="0"/>
        <w:spacing w:line="360" w:lineRule="auto"/>
        <w:rPr>
          <w:rFonts w:ascii="仿宋" w:hAnsi="仿宋" w:eastAsia="仿宋" w:cs="仿宋"/>
          <w:sz w:val="24"/>
        </w:rPr>
      </w:pPr>
      <w:r>
        <w:rPr>
          <w:rFonts w:hint="eastAsia" w:ascii="仿宋" w:hAnsi="仿宋" w:eastAsia="仿宋" w:cs="仿宋"/>
          <w:sz w:val="24"/>
        </w:rPr>
        <w:t>采购人：</w:t>
      </w:r>
    </w:p>
    <w:p>
      <w:pPr>
        <w:snapToGrid w:val="0"/>
        <w:spacing w:line="360" w:lineRule="auto"/>
        <w:rPr>
          <w:rFonts w:ascii="仿宋" w:hAnsi="仿宋" w:eastAsia="仿宋" w:cs="仿宋"/>
          <w:sz w:val="24"/>
        </w:rPr>
      </w:pPr>
      <w:r>
        <w:rPr>
          <w:rFonts w:hint="eastAsia" w:ascii="仿宋" w:hAnsi="仿宋" w:eastAsia="仿宋" w:cs="仿宋"/>
          <w:sz w:val="24"/>
        </w:rPr>
        <w:t>采购人地址：</w:t>
      </w:r>
    </w:p>
    <w:p>
      <w:pPr>
        <w:snapToGrid w:val="0"/>
        <w:spacing w:line="360" w:lineRule="auto"/>
        <w:jc w:val="left"/>
        <w:rPr>
          <w:rFonts w:ascii="仿宋" w:hAnsi="仿宋" w:eastAsia="仿宋" w:cs="仿宋"/>
          <w:sz w:val="24"/>
          <w:u w:val="dotted"/>
        </w:rPr>
      </w:pPr>
      <w:r>
        <w:rPr>
          <w:rFonts w:hint="eastAsia" w:ascii="仿宋" w:hAnsi="仿宋" w:eastAsia="仿宋" w:cs="仿宋"/>
          <w:sz w:val="24"/>
        </w:rPr>
        <w:t>质疑联系人：质疑联系方式：</w:t>
      </w:r>
      <w:r>
        <w:rPr>
          <w:rFonts w:hint="eastAsia" w:ascii="仿宋" w:hAnsi="仿宋" w:eastAsia="仿宋" w:cs="仿宋"/>
          <w:sz w:val="24"/>
          <w:u w:val="dotted"/>
        </w:rPr>
        <w:t xml:space="preserve">               邮箱：            </w:t>
      </w:r>
    </w:p>
    <w:p>
      <w:pPr>
        <w:snapToGrid w:val="0"/>
        <w:spacing w:line="360" w:lineRule="auto"/>
        <w:rPr>
          <w:rFonts w:ascii="仿宋" w:hAnsi="仿宋" w:eastAsia="仿宋" w:cs="仿宋"/>
          <w:sz w:val="24"/>
          <w:u w:val="dotted"/>
        </w:rPr>
      </w:pPr>
      <w:r>
        <w:rPr>
          <w:rFonts w:hint="eastAsia" w:ascii="仿宋" w:hAnsi="仿宋" w:eastAsia="仿宋" w:cs="仿宋"/>
          <w:sz w:val="24"/>
        </w:rPr>
        <w:t>采购代理机构：</w:t>
      </w:r>
    </w:p>
    <w:p>
      <w:pPr>
        <w:snapToGrid w:val="0"/>
        <w:spacing w:line="360" w:lineRule="auto"/>
        <w:rPr>
          <w:rFonts w:ascii="仿宋" w:hAnsi="仿宋" w:eastAsia="仿宋" w:cs="仿宋"/>
          <w:sz w:val="24"/>
        </w:rPr>
      </w:pPr>
      <w:r>
        <w:rPr>
          <w:rFonts w:hint="eastAsia" w:ascii="仿宋" w:hAnsi="仿宋" w:eastAsia="仿宋" w:cs="仿宋"/>
          <w:sz w:val="24"/>
        </w:rPr>
        <w:t>采购代理机构地址：</w:t>
      </w:r>
    </w:p>
    <w:p>
      <w:pPr>
        <w:snapToGrid w:val="0"/>
        <w:spacing w:line="360" w:lineRule="auto"/>
        <w:rPr>
          <w:rFonts w:ascii="仿宋" w:hAnsi="仿宋" w:eastAsia="仿宋" w:cs="仿宋"/>
          <w:sz w:val="24"/>
          <w:u w:val="dotted"/>
        </w:rPr>
      </w:pPr>
      <w:r>
        <w:rPr>
          <w:rFonts w:hint="eastAsia" w:ascii="仿宋" w:hAnsi="仿宋" w:eastAsia="仿宋" w:cs="仿宋"/>
          <w:sz w:val="24"/>
        </w:rPr>
        <w:t>质疑联系人：质疑联系方式：</w:t>
      </w:r>
      <w:r>
        <w:rPr>
          <w:rFonts w:hint="eastAsia" w:ascii="仿宋" w:hAnsi="仿宋" w:eastAsia="仿宋" w:cs="仿宋"/>
          <w:sz w:val="24"/>
          <w:u w:val="dotted"/>
        </w:rPr>
        <w:t xml:space="preserve">                 邮箱：           </w:t>
      </w:r>
    </w:p>
    <w:p>
      <w:pPr>
        <w:snapToGrid w:val="0"/>
        <w:spacing w:line="360" w:lineRule="auto"/>
        <w:rPr>
          <w:rFonts w:ascii="仿宋" w:hAnsi="仿宋" w:eastAsia="仿宋" w:cs="仿宋"/>
          <w:bCs/>
          <w:sz w:val="24"/>
        </w:rPr>
      </w:pPr>
      <w:r>
        <w:rPr>
          <w:rFonts w:hint="eastAsia" w:ascii="仿宋" w:hAnsi="仿宋" w:eastAsia="仿宋" w:cs="仿宋"/>
          <w:bCs/>
          <w:sz w:val="24"/>
        </w:rPr>
        <w:t>三、质疑事项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rPr>
      </w:pPr>
      <w:r>
        <w:rPr>
          <w:rFonts w:hint="eastAsia" w:ascii="仿宋" w:hAnsi="仿宋" w:eastAsia="仿宋" w:cs="仿宋"/>
          <w:sz w:val="24"/>
        </w:rPr>
        <w:t>质疑事项2：</w:t>
      </w:r>
    </w:p>
    <w:p>
      <w:pPr>
        <w:numPr>
          <w:ilvl w:val="0"/>
          <w:numId w:val="12"/>
        </w:numPr>
        <w:snapToGrid w:val="0"/>
        <w:spacing w:line="360" w:lineRule="auto"/>
        <w:rPr>
          <w:rFonts w:ascii="仿宋" w:hAnsi="仿宋" w:eastAsia="仿宋" w:cs="仿宋"/>
          <w:bCs/>
          <w:sz w:val="24"/>
        </w:rPr>
      </w:pPr>
      <w:r>
        <w:rPr>
          <w:rFonts w:hint="eastAsia" w:ascii="仿宋" w:hAnsi="仿宋" w:eastAsia="仿宋" w:cs="仿宋"/>
          <w:bCs/>
          <w:sz w:val="24"/>
        </w:rPr>
        <w:t>审查及答复</w:t>
      </w:r>
    </w:p>
    <w:p>
      <w:pPr>
        <w:snapToGrid w:val="0"/>
        <w:spacing w:line="360" w:lineRule="auto"/>
        <w:rPr>
          <w:rFonts w:ascii="仿宋" w:hAnsi="仿宋" w:eastAsia="仿宋" w:cs="仿宋"/>
          <w:sz w:val="24"/>
          <w:u w:val="dotted"/>
        </w:rPr>
      </w:pPr>
      <w:r>
        <w:rPr>
          <w:rFonts w:hint="eastAsia" w:ascii="仿宋" w:hAnsi="仿宋" w:eastAsia="仿宋" w:cs="仿宋"/>
          <w:bCs/>
          <w:sz w:val="24"/>
        </w:rPr>
        <w:t>事项1：</w:t>
      </w:r>
    </w:p>
    <w:p>
      <w:pPr>
        <w:snapToGrid w:val="0"/>
        <w:spacing w:line="360" w:lineRule="auto"/>
        <w:rPr>
          <w:rFonts w:ascii="仿宋" w:hAnsi="仿宋" w:eastAsia="仿宋" w:cs="仿宋"/>
          <w:bCs/>
          <w:sz w:val="24"/>
        </w:rPr>
      </w:pPr>
      <w:r>
        <w:rPr>
          <w:rFonts w:hint="eastAsia" w:ascii="仿宋" w:hAnsi="仿宋" w:eastAsia="仿宋" w:cs="仿宋"/>
          <w:bCs/>
          <w:sz w:val="24"/>
        </w:rPr>
        <w:t>事项2：</w:t>
      </w:r>
    </w:p>
    <w:p>
      <w:pPr>
        <w:snapToGrid w:val="0"/>
        <w:spacing w:line="360" w:lineRule="auto"/>
        <w:ind w:firstLine="480"/>
        <w:rPr>
          <w:rFonts w:ascii="仿宋" w:hAnsi="仿宋" w:eastAsia="仿宋" w:cs="仿宋"/>
          <w:bCs/>
          <w:sz w:val="24"/>
        </w:rPr>
      </w:pPr>
      <w:r>
        <w:rPr>
          <w:rFonts w:hint="eastAsia" w:ascii="仿宋" w:hAnsi="仿宋" w:eastAsia="仿宋" w:cs="仿宋"/>
          <w:bCs/>
          <w:sz w:val="24"/>
        </w:rPr>
        <w:t>欢迎并感谢你单位对政府采购活动的参与和支持。</w:t>
      </w:r>
    </w:p>
    <w:p>
      <w:pPr>
        <w:snapToGrid w:val="0"/>
        <w:spacing w:line="360" w:lineRule="auto"/>
        <w:rPr>
          <w:rFonts w:ascii="仿宋" w:hAnsi="仿宋" w:eastAsia="仿宋" w:cs="仿宋"/>
          <w:bCs/>
          <w:sz w:val="24"/>
        </w:rPr>
      </w:pPr>
    </w:p>
    <w:p>
      <w:pPr>
        <w:spacing w:line="360" w:lineRule="auto"/>
        <w:rPr>
          <w:rFonts w:ascii="仿宋" w:hAnsi="仿宋" w:eastAsia="仿宋" w:cs="仿宋"/>
          <w:sz w:val="24"/>
        </w:rPr>
      </w:pPr>
      <w:r>
        <w:rPr>
          <w:rFonts w:hint="eastAsia" w:ascii="仿宋" w:hAnsi="仿宋" w:eastAsia="仿宋" w:cs="仿宋"/>
          <w:sz w:val="24"/>
        </w:rPr>
        <w:t xml:space="preserve">                                            采购单位：</w:t>
      </w:r>
    </w:p>
    <w:p>
      <w:pPr>
        <w:spacing w:line="360" w:lineRule="auto"/>
        <w:ind w:firstLine="5520" w:firstLineChars="2300"/>
        <w:rPr>
          <w:rFonts w:ascii="仿宋" w:hAnsi="仿宋" w:eastAsia="仿宋" w:cs="仿宋"/>
          <w:sz w:val="24"/>
        </w:rPr>
      </w:pPr>
      <w:r>
        <w:rPr>
          <w:rFonts w:hint="eastAsia" w:ascii="仿宋" w:hAnsi="仿宋" w:eastAsia="仿宋" w:cs="仿宋"/>
          <w:sz w:val="24"/>
        </w:rPr>
        <w:t xml:space="preserve">          年  月  日 </w:t>
      </w:r>
    </w:p>
    <w:p>
      <w:pPr>
        <w:spacing w:line="360" w:lineRule="auto"/>
        <w:rPr>
          <w:rFonts w:ascii="仿宋" w:hAnsi="仿宋" w:eastAsia="仿宋" w:cs="仿宋"/>
          <w:b/>
          <w:sz w:val="24"/>
        </w:rPr>
      </w:pPr>
    </w:p>
    <w:sectPr>
      <w:headerReference r:id="rId17" w:type="first"/>
      <w:footerReference r:id="rId20" w:type="first"/>
      <w:headerReference r:id="rId16" w:type="default"/>
      <w:footerReference r:id="rId18" w:type="default"/>
      <w:footerReference r:id="rId19"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0000000000000000000"/>
    <w:charset w:val="00"/>
    <w:family w:val="swiss"/>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0000000000000000000"/>
    <w:charset w:val="00"/>
    <w:family w:val="swiss"/>
    <w:pitch w:val="default"/>
    <w:sig w:usb0="00000000" w:usb1="00000000" w:usb2="00000000" w:usb3="00000000" w:csb0="00000001" w:csb1="00000000"/>
  </w:font>
  <w:font w:name="ˎ̥">
    <w:altName w:val="微软雅黑"/>
    <w:panose1 w:val="00000000000000000000"/>
    <w:charset w:val="00"/>
    <w:family w:val="roman"/>
    <w:pitch w:val="default"/>
    <w:sig w:usb0="00000000" w:usb1="00000000" w:usb2="00000000" w:usb3="00000000" w:csb0="00040001" w:csb1="00000000"/>
  </w:font>
  <w:font w:name="Futura Bk">
    <w:altName w:val="Trebuchet MS"/>
    <w:panose1 w:val="00000000000000000000"/>
    <w:charset w:val="00"/>
    <w:family w:val="swiss"/>
    <w:pitch w:val="default"/>
    <w:sig w:usb0="00000000" w:usb1="00000000" w:usb2="00000000" w:usb3="00000000" w:csb0="00000001" w:csb1="00000000"/>
  </w:font>
  <w:font w:name="Helvetica">
    <w:panose1 w:val="020B0504020202030204"/>
    <w:charset w:val="00"/>
    <w:family w:val="swiss"/>
    <w:pitch w:val="default"/>
    <w:sig w:usb0="00000007" w:usb1="00000000" w:usb2="00000000" w:usb3="00000000" w:csb0="00000093"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Futura Hv">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Century Gothic">
    <w:altName w:val="NumberOnly"/>
    <w:panose1 w:val="020B0502020202020204"/>
    <w:charset w:val="00"/>
    <w:family w:val="swiss"/>
    <w:pitch w:val="default"/>
    <w:sig w:usb0="00000000" w:usb1="00000000" w:usb2="00000000" w:usb3="00000000" w:csb0="0000009F" w:csb1="00000000"/>
  </w:font>
  <w:font w:name="Arial (W1)">
    <w:altName w:val="Arial"/>
    <w:panose1 w:val="00000000000000000000"/>
    <w:charset w:val="00"/>
    <w:family w:val="swiss"/>
    <w:pitch w:val="default"/>
    <w:sig w:usb0="00000000" w:usb1="00000000" w:usb2="00000000" w:usb3="00000000" w:csb0="00000001" w:csb1="00000000"/>
  </w:font>
  <w:font w:name="Aldine401 BT">
    <w:altName w:val="Courier New"/>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1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E-F1">
    <w:altName w:val="Malgun Gothic"/>
    <w:panose1 w:val="00000000000000000000"/>
    <w:charset w:val="81"/>
    <w:family w:val="roman"/>
    <w:pitch w:val="default"/>
    <w:sig w:usb0="00000000" w:usb1="00000000" w:usb2="00000033" w:usb3="00000000" w:csb0="00080000" w:csb1="00000000"/>
  </w:font>
  <w:font w:name="PMingLiU">
    <w:panose1 w:val="02020500000000000000"/>
    <w:charset w:val="88"/>
    <w:family w:val="auto"/>
    <w:pitch w:val="default"/>
    <w:sig w:usb0="A00002FF" w:usb1="28CFFCFA" w:usb2="00000016" w:usb3="00000000" w:csb0="00100001" w:csb1="0000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auto"/>
    <w:pitch w:val="default"/>
    <w:sig w:usb0="00000287" w:usb1="00000000" w:usb2="00000000" w:usb3="00000000" w:csb0="2000009F" w:csb1="00000000"/>
  </w:font>
  <w:font w:name="NumberOnly">
    <w:panose1 w:val="020B0500000000000000"/>
    <w:charset w:val="00"/>
    <w:family w:val="auto"/>
    <w:pitch w:val="default"/>
    <w:sig w:usb0="8000002F" w:usb1="10000048" w:usb2="00000000" w:usb3="00000000" w:csb0="00000111" w:csb1="4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bookmarkStart w:id="430" w:name="_Toc91899912"/>
    <w:bookmarkStart w:id="431" w:name="_Toc36110187"/>
    <w:bookmarkStart w:id="432" w:name="_Toc131845147"/>
    <w:bookmarkStart w:id="433" w:name="_Toc164085800"/>
    <w:r>
      <w:rPr>
        <w:rFonts w:hint="eastAsia" w:ascii="仿宋_GB2312" w:eastAsia="仿宋_GB2312"/>
        <w:kern w:val="0"/>
        <w:szCs w:val="21"/>
      </w:rPr>
      <w:t xml:space="preserve"> 页</w:t>
    </w:r>
    <w:bookmarkEnd w:id="430"/>
    <w:bookmarkEnd w:id="431"/>
    <w:bookmarkEnd w:id="432"/>
    <w:bookmarkEnd w:id="43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jc w:val="right"/>
    </w:pPr>
    <w:r>
      <w:rPr>
        <w:rFonts w:hint="eastAsia"/>
      </w:rPr>
      <w:t>公开交易文件</w:t>
    </w:r>
  </w:p>
  <w:p>
    <w:pPr>
      <w:pStyle w:val="57"/>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ind w:right="720"/>
      <w:jc w:val="right"/>
    </w:pPr>
    <w:r>
      <w:rPr>
        <w:rFonts w:hint="eastAsia"/>
      </w:rPr>
      <w:t>交易</w:t>
    </w:r>
    <w:r>
      <w:rPr>
        <w:rFonts w:hint="eastAsia"/>
        <w:lang w:val="zh-CN"/>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ascii="仿宋_GB2312" w:eastAsia="仿宋_GB2312"/>
        <w:b/>
        <w:i/>
        <w:u w:val="single"/>
      </w:rPr>
    </w:pPr>
    <w:r>
      <w:rPr>
        <w:rFonts w:hint="eastAsia"/>
      </w:rPr>
      <w:t>公开交易文件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pPr>
      <w:pStyle w:val="39"/>
    </w:pPr>
    <w:r>
      <w:rPr>
        <w:rFonts w:hint="eastAsia"/>
      </w:rPr>
      <w:t>公开交易文件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ascii="仿宋_GB2312" w:eastAsia="仿宋_GB2312"/>
        <w:b/>
        <w:i/>
        <w:u w:val="single"/>
      </w:rPr>
    </w:pPr>
    <w:r>
      <w:t>公开</w:t>
    </w:r>
    <w:r>
      <w:rPr>
        <w:rFonts w:hint="eastAsia"/>
      </w:rPr>
      <w:t>交易</w:t>
    </w:r>
    <w:r>
      <w:t>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rFonts w:hint="eastAsia"/>
      </w:rPr>
      <w:t>公开交易文件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pPr>
      <w:pStyle w:val="39"/>
    </w:pPr>
    <w:r>
      <w:rPr>
        <w:rFonts w:hint="eastAsia"/>
      </w:rPr>
      <w:t>萧山区政府采购公开交易文件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79A43"/>
    <w:multiLevelType w:val="singleLevel"/>
    <w:tmpl w:val="8F779A43"/>
    <w:lvl w:ilvl="0" w:tentative="0">
      <w:start w:val="1"/>
      <w:numFmt w:val="chineseCounting"/>
      <w:suff w:val="nothing"/>
      <w:lvlText w:val="%1、"/>
      <w:lvlJc w:val="left"/>
      <w:rPr>
        <w:rFonts w:hint="eastAsia"/>
      </w:rPr>
    </w:lvl>
  </w:abstractNum>
  <w:abstractNum w:abstractNumId="1">
    <w:nsid w:val="9D869D75"/>
    <w:multiLevelType w:val="singleLevel"/>
    <w:tmpl w:val="9D869D75"/>
    <w:lvl w:ilvl="0" w:tentative="0">
      <w:start w:val="2"/>
      <w:numFmt w:val="decimal"/>
      <w:lvlText w:val="%1."/>
      <w:lvlJc w:val="left"/>
      <w:pPr>
        <w:tabs>
          <w:tab w:val="left" w:pos="312"/>
        </w:tabs>
      </w:pPr>
    </w:lvl>
  </w:abstractNum>
  <w:abstractNum w:abstractNumId="2">
    <w:nsid w:val="F4083AC2"/>
    <w:multiLevelType w:val="singleLevel"/>
    <w:tmpl w:val="F4083AC2"/>
    <w:lvl w:ilvl="0" w:tentative="0">
      <w:start w:val="4"/>
      <w:numFmt w:val="chineseCounting"/>
      <w:suff w:val="nothing"/>
      <w:lvlText w:val="%1、"/>
      <w:lvlJc w:val="left"/>
      <w:rPr>
        <w:rFonts w:hint="eastAsia"/>
      </w:rPr>
    </w:lvl>
  </w:abstractNum>
  <w:abstractNum w:abstractNumId="3">
    <w:nsid w:val="FFFFFF81"/>
    <w:multiLevelType w:val="singleLevel"/>
    <w:tmpl w:val="FFFFFF81"/>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4">
    <w:nsid w:val="00000007"/>
    <w:multiLevelType w:val="multilevel"/>
    <w:tmpl w:val="00000007"/>
    <w:lvl w:ilvl="0" w:tentative="0">
      <w:start w:val="1"/>
      <w:numFmt w:val="bullet"/>
      <w:pStyle w:val="34"/>
      <w:lvlText w:val=""/>
      <w:lvlJc w:val="left"/>
      <w:pPr>
        <w:tabs>
          <w:tab w:val="left" w:pos="840"/>
        </w:tabs>
        <w:ind w:left="840" w:hanging="420"/>
      </w:pPr>
      <w:rPr>
        <w:rFonts w:hint="default" w:ascii="Wingdings" w:hAnsi="Wingdings"/>
      </w:rPr>
    </w:lvl>
    <w:lvl w:ilvl="1" w:tentative="0">
      <w:start w:val="1"/>
      <w:numFmt w:val="bullet"/>
      <w:pStyle w:val="329"/>
      <w:lvlText w:val=""/>
      <w:lvlJc w:val="left"/>
      <w:pPr>
        <w:tabs>
          <w:tab w:val="left" w:pos="1260"/>
        </w:tabs>
        <w:ind w:left="1260" w:hanging="420"/>
      </w:pPr>
      <w:rPr>
        <w:rFonts w:hint="default" w:ascii="Wingdings" w:hAnsi="Wingdings"/>
      </w:rPr>
    </w:lvl>
    <w:lvl w:ilvl="2" w:tentative="0">
      <w:start w:val="1"/>
      <w:numFmt w:val="bullet"/>
      <w:pStyle w:val="310"/>
      <w:lvlText w:val=""/>
      <w:lvlJc w:val="left"/>
      <w:pPr>
        <w:tabs>
          <w:tab w:val="left" w:pos="1680"/>
        </w:tabs>
        <w:ind w:left="1680" w:hanging="420"/>
      </w:pPr>
      <w:rPr>
        <w:rFonts w:hint="default" w:ascii="Wingdings" w:hAnsi="Wingdings"/>
      </w:rPr>
    </w:lvl>
    <w:lvl w:ilvl="3" w:tentative="0">
      <w:start w:val="1"/>
      <w:numFmt w:val="bullet"/>
      <w:pStyle w:val="327"/>
      <w:lvlText w:val=""/>
      <w:lvlJc w:val="left"/>
      <w:pPr>
        <w:tabs>
          <w:tab w:val="left" w:pos="2100"/>
        </w:tabs>
        <w:ind w:left="2100" w:hanging="420"/>
      </w:pPr>
      <w:rPr>
        <w:rFonts w:hint="default" w:ascii="Wingdings" w:hAnsi="Wingdings"/>
      </w:rPr>
    </w:lvl>
    <w:lvl w:ilvl="4" w:tentative="0">
      <w:start w:val="1"/>
      <w:numFmt w:val="bullet"/>
      <w:pStyle w:val="394"/>
      <w:lvlText w:val=""/>
      <w:lvlJc w:val="left"/>
      <w:pPr>
        <w:tabs>
          <w:tab w:val="left" w:pos="2520"/>
        </w:tabs>
        <w:ind w:left="2520" w:hanging="420"/>
      </w:pPr>
      <w:rPr>
        <w:rFonts w:hint="default" w:ascii="Wingdings" w:hAnsi="Wingdings"/>
      </w:rPr>
    </w:lvl>
    <w:lvl w:ilvl="5" w:tentative="0">
      <w:start w:val="1"/>
      <w:numFmt w:val="bullet"/>
      <w:pStyle w:val="463"/>
      <w:lvlText w:val=""/>
      <w:lvlJc w:val="left"/>
      <w:pPr>
        <w:tabs>
          <w:tab w:val="left" w:pos="2940"/>
        </w:tabs>
        <w:ind w:left="2940" w:hanging="420"/>
      </w:pPr>
      <w:rPr>
        <w:rFonts w:hint="default" w:ascii="Wingdings" w:hAnsi="Wingdings"/>
      </w:rPr>
    </w:lvl>
    <w:lvl w:ilvl="6" w:tentative="0">
      <w:start w:val="1"/>
      <w:numFmt w:val="bullet"/>
      <w:pStyle w:val="462"/>
      <w:lvlText w:val=""/>
      <w:lvlJc w:val="left"/>
      <w:pPr>
        <w:tabs>
          <w:tab w:val="left" w:pos="3360"/>
        </w:tabs>
        <w:ind w:left="3360" w:hanging="420"/>
      </w:pPr>
      <w:rPr>
        <w:rFonts w:hint="default" w:ascii="Wingdings" w:hAnsi="Wingdings"/>
      </w:rPr>
    </w:lvl>
    <w:lvl w:ilvl="7" w:tentative="0">
      <w:start w:val="1"/>
      <w:numFmt w:val="bullet"/>
      <w:pStyle w:val="539"/>
      <w:lvlText w:val=""/>
      <w:lvlJc w:val="left"/>
      <w:pPr>
        <w:tabs>
          <w:tab w:val="left" w:pos="3780"/>
        </w:tabs>
        <w:ind w:left="3780" w:hanging="420"/>
      </w:pPr>
      <w:rPr>
        <w:rFonts w:hint="default" w:ascii="Wingdings" w:hAnsi="Wingdings"/>
      </w:rPr>
    </w:lvl>
    <w:lvl w:ilvl="8" w:tentative="0">
      <w:start w:val="1"/>
      <w:numFmt w:val="bullet"/>
      <w:pStyle w:val="534"/>
      <w:lvlText w:val=""/>
      <w:lvlJc w:val="left"/>
      <w:pPr>
        <w:tabs>
          <w:tab w:val="left" w:pos="4200"/>
        </w:tabs>
        <w:ind w:left="4200" w:hanging="420"/>
      </w:pPr>
      <w:rPr>
        <w:rFonts w:hint="default" w:ascii="Wingdings" w:hAnsi="Wingdings"/>
      </w:rPr>
    </w:lvl>
  </w:abstractNum>
  <w:abstractNum w:abstractNumId="5">
    <w:nsid w:val="0000000A"/>
    <w:multiLevelType w:val="multilevel"/>
    <w:tmpl w:val="0000000A"/>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7">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78B3BD2"/>
    <w:multiLevelType w:val="multilevel"/>
    <w:tmpl w:val="578B3BD2"/>
    <w:lvl w:ilvl="0" w:tentative="0">
      <w:start w:val="1"/>
      <w:numFmt w:val="decimal"/>
      <w:pStyle w:val="473"/>
      <w:lvlText w:val="%1"/>
      <w:lvlJc w:val="left"/>
      <w:pPr>
        <w:tabs>
          <w:tab w:val="left" w:pos="480"/>
        </w:tabs>
        <w:ind w:left="480" w:hanging="480"/>
      </w:pPr>
      <w:rPr>
        <w:rFonts w:hint="eastAsia"/>
        <w:sz w:val="44"/>
        <w:szCs w:val="44"/>
      </w:rPr>
    </w:lvl>
    <w:lvl w:ilvl="1" w:tentative="0">
      <w:start w:val="1"/>
      <w:numFmt w:val="decimal"/>
      <w:pStyle w:val="450"/>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78"/>
      <w:lvlText w:val="%1.%2.%3.%4.%5"/>
      <w:lvlJc w:val="left"/>
      <w:pPr>
        <w:tabs>
          <w:tab w:val="left" w:pos="1080"/>
        </w:tabs>
        <w:ind w:left="1080" w:hanging="1080"/>
      </w:pPr>
      <w:rPr>
        <w:rFonts w:hint="default"/>
      </w:rPr>
    </w:lvl>
    <w:lvl w:ilvl="5" w:tentative="0">
      <w:start w:val="1"/>
      <w:numFmt w:val="decimal"/>
      <w:pStyle w:val="416"/>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5E8A8CF3"/>
    <w:multiLevelType w:val="singleLevel"/>
    <w:tmpl w:val="5E8A8CF3"/>
    <w:lvl w:ilvl="0" w:tentative="0">
      <w:start w:val="4"/>
      <w:numFmt w:val="chineseCounting"/>
      <w:suff w:val="nothing"/>
      <w:lvlText w:val="%1、"/>
      <w:lvlJc w:val="left"/>
      <w:rPr>
        <w:rFonts w:hint="eastAsia"/>
      </w:rPr>
    </w:lvl>
  </w:abstractNum>
  <w:abstractNum w:abstractNumId="10">
    <w:nsid w:val="73596DCC"/>
    <w:multiLevelType w:val="multilevel"/>
    <w:tmpl w:val="73596DCC"/>
    <w:lvl w:ilvl="0" w:tentative="0">
      <w:start w:val="1"/>
      <w:numFmt w:val="bullet"/>
      <w:pStyle w:val="474"/>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F5F9489"/>
    <w:multiLevelType w:val="singleLevel"/>
    <w:tmpl w:val="7F5F9489"/>
    <w:lvl w:ilvl="0" w:tentative="0">
      <w:start w:val="1"/>
      <w:numFmt w:val="chineseCounting"/>
      <w:suff w:val="nothing"/>
      <w:lvlText w:val="（%1）"/>
      <w:lvlJc w:val="left"/>
      <w:rPr>
        <w:rFonts w:hint="eastAsia"/>
      </w:rPr>
    </w:lvl>
  </w:abstractNum>
  <w:num w:numId="1">
    <w:abstractNumId w:val="5"/>
  </w:num>
  <w:num w:numId="2">
    <w:abstractNumId w:val="6"/>
  </w:num>
  <w:num w:numId="3">
    <w:abstractNumId w:val="3"/>
  </w:num>
  <w:num w:numId="4">
    <w:abstractNumId w:val="4"/>
  </w:num>
  <w:num w:numId="5">
    <w:abstractNumId w:val="8"/>
  </w:num>
  <w:num w:numId="6">
    <w:abstractNumId w:val="10"/>
  </w:num>
  <w:num w:numId="7">
    <w:abstractNumId w:val="11"/>
  </w:num>
  <w:num w:numId="8">
    <w:abstractNumId w:val="1"/>
  </w:num>
  <w:num w:numId="9">
    <w:abstractNumId w:val="9"/>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2ZjlhNGIzMDY3MmNlYjMyYmM3YTA1NTgyYWQ0M2MifQ=="/>
    <w:docVar w:name="KSO_WPS_MARK_KEY" w:val="97ad63ed-1a89-4a43-b8a8-be659bc51937"/>
  </w:docVars>
  <w:rsids>
    <w:rsidRoot w:val="00172A27"/>
    <w:rsid w:val="00000278"/>
    <w:rsid w:val="00000451"/>
    <w:rsid w:val="0000133D"/>
    <w:rsid w:val="00002075"/>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AE7"/>
    <w:rsid w:val="00034FA7"/>
    <w:rsid w:val="000357E4"/>
    <w:rsid w:val="00035ACA"/>
    <w:rsid w:val="00035BFB"/>
    <w:rsid w:val="00036F94"/>
    <w:rsid w:val="00040D46"/>
    <w:rsid w:val="00041892"/>
    <w:rsid w:val="00042533"/>
    <w:rsid w:val="00042E65"/>
    <w:rsid w:val="0004347C"/>
    <w:rsid w:val="00043907"/>
    <w:rsid w:val="00044F48"/>
    <w:rsid w:val="00045085"/>
    <w:rsid w:val="00045ABD"/>
    <w:rsid w:val="00046153"/>
    <w:rsid w:val="0004708A"/>
    <w:rsid w:val="00047354"/>
    <w:rsid w:val="0004753C"/>
    <w:rsid w:val="00050656"/>
    <w:rsid w:val="00051B00"/>
    <w:rsid w:val="0005205F"/>
    <w:rsid w:val="0005238F"/>
    <w:rsid w:val="00052BB8"/>
    <w:rsid w:val="00052C94"/>
    <w:rsid w:val="00052F50"/>
    <w:rsid w:val="000531C9"/>
    <w:rsid w:val="0005417A"/>
    <w:rsid w:val="00054D39"/>
    <w:rsid w:val="0005501B"/>
    <w:rsid w:val="000550F5"/>
    <w:rsid w:val="00055337"/>
    <w:rsid w:val="000554C7"/>
    <w:rsid w:val="00055506"/>
    <w:rsid w:val="00055D88"/>
    <w:rsid w:val="00056402"/>
    <w:rsid w:val="00056791"/>
    <w:rsid w:val="000568DF"/>
    <w:rsid w:val="000574B4"/>
    <w:rsid w:val="000578A3"/>
    <w:rsid w:val="00057D4C"/>
    <w:rsid w:val="00061A3C"/>
    <w:rsid w:val="00061C48"/>
    <w:rsid w:val="00064278"/>
    <w:rsid w:val="000646CA"/>
    <w:rsid w:val="000665C4"/>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6B4"/>
    <w:rsid w:val="00086EEB"/>
    <w:rsid w:val="00086F8A"/>
    <w:rsid w:val="00090243"/>
    <w:rsid w:val="000904F6"/>
    <w:rsid w:val="00090ED8"/>
    <w:rsid w:val="0009145F"/>
    <w:rsid w:val="00091B4E"/>
    <w:rsid w:val="00092FE9"/>
    <w:rsid w:val="00093BC1"/>
    <w:rsid w:val="00094342"/>
    <w:rsid w:val="00095954"/>
    <w:rsid w:val="00095FAF"/>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7299"/>
    <w:rsid w:val="000B0262"/>
    <w:rsid w:val="000B0E04"/>
    <w:rsid w:val="000B291B"/>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0C9"/>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0571"/>
    <w:rsid w:val="000F2940"/>
    <w:rsid w:val="000F3D08"/>
    <w:rsid w:val="000F4495"/>
    <w:rsid w:val="000F4A05"/>
    <w:rsid w:val="000F505B"/>
    <w:rsid w:val="000F68A0"/>
    <w:rsid w:val="000F6CC2"/>
    <w:rsid w:val="0010065F"/>
    <w:rsid w:val="0010118C"/>
    <w:rsid w:val="0010125E"/>
    <w:rsid w:val="00101967"/>
    <w:rsid w:val="00103EBD"/>
    <w:rsid w:val="001048AB"/>
    <w:rsid w:val="00104E5B"/>
    <w:rsid w:val="00104EEC"/>
    <w:rsid w:val="001050DC"/>
    <w:rsid w:val="00105482"/>
    <w:rsid w:val="001055BB"/>
    <w:rsid w:val="001056A5"/>
    <w:rsid w:val="00105BA9"/>
    <w:rsid w:val="00106AAA"/>
    <w:rsid w:val="00106BD2"/>
    <w:rsid w:val="00107BBD"/>
    <w:rsid w:val="00107BC7"/>
    <w:rsid w:val="001102B5"/>
    <w:rsid w:val="00111117"/>
    <w:rsid w:val="00111C7D"/>
    <w:rsid w:val="00112038"/>
    <w:rsid w:val="001127BC"/>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5C5"/>
    <w:rsid w:val="00136762"/>
    <w:rsid w:val="00136E33"/>
    <w:rsid w:val="0013755B"/>
    <w:rsid w:val="0013773D"/>
    <w:rsid w:val="00137A63"/>
    <w:rsid w:val="00140693"/>
    <w:rsid w:val="00140D7A"/>
    <w:rsid w:val="00141DFE"/>
    <w:rsid w:val="00142A51"/>
    <w:rsid w:val="001433BC"/>
    <w:rsid w:val="00144649"/>
    <w:rsid w:val="00145022"/>
    <w:rsid w:val="00145662"/>
    <w:rsid w:val="00145C6D"/>
    <w:rsid w:val="00146151"/>
    <w:rsid w:val="00147032"/>
    <w:rsid w:val="00147EA7"/>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7478"/>
    <w:rsid w:val="00167594"/>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8B3"/>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35C"/>
    <w:rsid w:val="001956BE"/>
    <w:rsid w:val="0019602C"/>
    <w:rsid w:val="001969F2"/>
    <w:rsid w:val="0019756A"/>
    <w:rsid w:val="001A07F8"/>
    <w:rsid w:val="001A0864"/>
    <w:rsid w:val="001A0A23"/>
    <w:rsid w:val="001A0A91"/>
    <w:rsid w:val="001A128B"/>
    <w:rsid w:val="001A1F0E"/>
    <w:rsid w:val="001A473A"/>
    <w:rsid w:val="001A4B80"/>
    <w:rsid w:val="001A4ED9"/>
    <w:rsid w:val="001A516B"/>
    <w:rsid w:val="001A5785"/>
    <w:rsid w:val="001A5FD7"/>
    <w:rsid w:val="001A66A6"/>
    <w:rsid w:val="001A6BBB"/>
    <w:rsid w:val="001A79A2"/>
    <w:rsid w:val="001B13BF"/>
    <w:rsid w:val="001B1567"/>
    <w:rsid w:val="001B16F5"/>
    <w:rsid w:val="001B1C1F"/>
    <w:rsid w:val="001B219B"/>
    <w:rsid w:val="001B2377"/>
    <w:rsid w:val="001B2703"/>
    <w:rsid w:val="001B3E6D"/>
    <w:rsid w:val="001B46B2"/>
    <w:rsid w:val="001B4725"/>
    <w:rsid w:val="001B48B2"/>
    <w:rsid w:val="001B49DA"/>
    <w:rsid w:val="001B4CA8"/>
    <w:rsid w:val="001B4E53"/>
    <w:rsid w:val="001B572D"/>
    <w:rsid w:val="001B5B10"/>
    <w:rsid w:val="001B5E9A"/>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10C6"/>
    <w:rsid w:val="001E1713"/>
    <w:rsid w:val="001E17E3"/>
    <w:rsid w:val="001E2052"/>
    <w:rsid w:val="001E257C"/>
    <w:rsid w:val="001E31AF"/>
    <w:rsid w:val="001E35EE"/>
    <w:rsid w:val="001E3666"/>
    <w:rsid w:val="001E4B2C"/>
    <w:rsid w:val="001E507F"/>
    <w:rsid w:val="001E59FB"/>
    <w:rsid w:val="001F0FD1"/>
    <w:rsid w:val="001F19D1"/>
    <w:rsid w:val="001F1CB9"/>
    <w:rsid w:val="001F1F18"/>
    <w:rsid w:val="001F2F92"/>
    <w:rsid w:val="001F5DBF"/>
    <w:rsid w:val="001F612E"/>
    <w:rsid w:val="001F62C3"/>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07EF1"/>
    <w:rsid w:val="00210744"/>
    <w:rsid w:val="00210B9C"/>
    <w:rsid w:val="002117E5"/>
    <w:rsid w:val="00213D15"/>
    <w:rsid w:val="00214028"/>
    <w:rsid w:val="002141C3"/>
    <w:rsid w:val="002141D6"/>
    <w:rsid w:val="002141DC"/>
    <w:rsid w:val="00214479"/>
    <w:rsid w:val="002144F3"/>
    <w:rsid w:val="002146C3"/>
    <w:rsid w:val="00215A2A"/>
    <w:rsid w:val="00215D21"/>
    <w:rsid w:val="00216387"/>
    <w:rsid w:val="002204BC"/>
    <w:rsid w:val="00220F7B"/>
    <w:rsid w:val="002213CE"/>
    <w:rsid w:val="00221AF7"/>
    <w:rsid w:val="00221FFA"/>
    <w:rsid w:val="00222494"/>
    <w:rsid w:val="00222775"/>
    <w:rsid w:val="00222A31"/>
    <w:rsid w:val="00222CF6"/>
    <w:rsid w:val="002244E4"/>
    <w:rsid w:val="00224D2A"/>
    <w:rsid w:val="00224D8D"/>
    <w:rsid w:val="0022555A"/>
    <w:rsid w:val="00230689"/>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72D"/>
    <w:rsid w:val="002A5CAB"/>
    <w:rsid w:val="002A5D1C"/>
    <w:rsid w:val="002A5D40"/>
    <w:rsid w:val="002A64E7"/>
    <w:rsid w:val="002A7ED3"/>
    <w:rsid w:val="002A7FC9"/>
    <w:rsid w:val="002B06C1"/>
    <w:rsid w:val="002B139C"/>
    <w:rsid w:val="002B1881"/>
    <w:rsid w:val="002B1D8A"/>
    <w:rsid w:val="002B1F61"/>
    <w:rsid w:val="002B2906"/>
    <w:rsid w:val="002B34E3"/>
    <w:rsid w:val="002B419E"/>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909"/>
    <w:rsid w:val="002F4BA9"/>
    <w:rsid w:val="002F541B"/>
    <w:rsid w:val="002F5BFE"/>
    <w:rsid w:val="002F6EFF"/>
    <w:rsid w:val="002F7DF0"/>
    <w:rsid w:val="002F7FAF"/>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66F"/>
    <w:rsid w:val="00312DFC"/>
    <w:rsid w:val="0031318C"/>
    <w:rsid w:val="0031327E"/>
    <w:rsid w:val="003133DF"/>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3414"/>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632F"/>
    <w:rsid w:val="00377B26"/>
    <w:rsid w:val="00377B46"/>
    <w:rsid w:val="00377F5E"/>
    <w:rsid w:val="00380197"/>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5D"/>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703F"/>
    <w:rsid w:val="003A783B"/>
    <w:rsid w:val="003A7E2B"/>
    <w:rsid w:val="003A7E40"/>
    <w:rsid w:val="003B0046"/>
    <w:rsid w:val="003B0336"/>
    <w:rsid w:val="003B0A3A"/>
    <w:rsid w:val="003B0D79"/>
    <w:rsid w:val="003B15FE"/>
    <w:rsid w:val="003B2930"/>
    <w:rsid w:val="003B31A7"/>
    <w:rsid w:val="003B367F"/>
    <w:rsid w:val="003B430E"/>
    <w:rsid w:val="003B47DE"/>
    <w:rsid w:val="003B4B51"/>
    <w:rsid w:val="003B514E"/>
    <w:rsid w:val="003B636A"/>
    <w:rsid w:val="003B69CE"/>
    <w:rsid w:val="003C011C"/>
    <w:rsid w:val="003C0B60"/>
    <w:rsid w:val="003C151C"/>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412B"/>
    <w:rsid w:val="003E60DA"/>
    <w:rsid w:val="003E616A"/>
    <w:rsid w:val="003E6E00"/>
    <w:rsid w:val="003E7111"/>
    <w:rsid w:val="003E7940"/>
    <w:rsid w:val="003F01BD"/>
    <w:rsid w:val="003F01C2"/>
    <w:rsid w:val="003F0486"/>
    <w:rsid w:val="003F048E"/>
    <w:rsid w:val="003F0AFF"/>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3CB7"/>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5341"/>
    <w:rsid w:val="00425D8C"/>
    <w:rsid w:val="00426B2C"/>
    <w:rsid w:val="0042784A"/>
    <w:rsid w:val="00427FA8"/>
    <w:rsid w:val="0043026B"/>
    <w:rsid w:val="00430338"/>
    <w:rsid w:val="004306D4"/>
    <w:rsid w:val="00432099"/>
    <w:rsid w:val="00432ECA"/>
    <w:rsid w:val="0043554E"/>
    <w:rsid w:val="004355D4"/>
    <w:rsid w:val="004357B1"/>
    <w:rsid w:val="00435821"/>
    <w:rsid w:val="0043583E"/>
    <w:rsid w:val="00436CCE"/>
    <w:rsid w:val="00436D1D"/>
    <w:rsid w:val="00436EAD"/>
    <w:rsid w:val="004375E1"/>
    <w:rsid w:val="00437A2F"/>
    <w:rsid w:val="004401AE"/>
    <w:rsid w:val="00440262"/>
    <w:rsid w:val="004406BF"/>
    <w:rsid w:val="00440814"/>
    <w:rsid w:val="00442731"/>
    <w:rsid w:val="00442C12"/>
    <w:rsid w:val="004434DF"/>
    <w:rsid w:val="00443E1D"/>
    <w:rsid w:val="00445874"/>
    <w:rsid w:val="00445C38"/>
    <w:rsid w:val="004475F7"/>
    <w:rsid w:val="004502AC"/>
    <w:rsid w:val="0045057B"/>
    <w:rsid w:val="0045069B"/>
    <w:rsid w:val="00450B22"/>
    <w:rsid w:val="00451709"/>
    <w:rsid w:val="00451A02"/>
    <w:rsid w:val="00451C75"/>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702"/>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173"/>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19D"/>
    <w:rsid w:val="004A1E2C"/>
    <w:rsid w:val="004A1EA7"/>
    <w:rsid w:val="004A2EF8"/>
    <w:rsid w:val="004A3A21"/>
    <w:rsid w:val="004A3BC2"/>
    <w:rsid w:val="004A47DE"/>
    <w:rsid w:val="004A4E3B"/>
    <w:rsid w:val="004A5C97"/>
    <w:rsid w:val="004A64F9"/>
    <w:rsid w:val="004A71C7"/>
    <w:rsid w:val="004B026C"/>
    <w:rsid w:val="004B0271"/>
    <w:rsid w:val="004B0BE8"/>
    <w:rsid w:val="004B0C18"/>
    <w:rsid w:val="004B0E4A"/>
    <w:rsid w:val="004B1679"/>
    <w:rsid w:val="004B18F4"/>
    <w:rsid w:val="004B1A98"/>
    <w:rsid w:val="004B2463"/>
    <w:rsid w:val="004B3012"/>
    <w:rsid w:val="004B305F"/>
    <w:rsid w:val="004B34C4"/>
    <w:rsid w:val="004B34E8"/>
    <w:rsid w:val="004B3981"/>
    <w:rsid w:val="004B3A03"/>
    <w:rsid w:val="004B419F"/>
    <w:rsid w:val="004B4EA9"/>
    <w:rsid w:val="004B5982"/>
    <w:rsid w:val="004B673A"/>
    <w:rsid w:val="004B69CE"/>
    <w:rsid w:val="004B6E50"/>
    <w:rsid w:val="004B7317"/>
    <w:rsid w:val="004B75B2"/>
    <w:rsid w:val="004C0647"/>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0762"/>
    <w:rsid w:val="004D16A3"/>
    <w:rsid w:val="004D1934"/>
    <w:rsid w:val="004D1E41"/>
    <w:rsid w:val="004D2326"/>
    <w:rsid w:val="004D2E11"/>
    <w:rsid w:val="004D329C"/>
    <w:rsid w:val="004D34D1"/>
    <w:rsid w:val="004D3EC5"/>
    <w:rsid w:val="004D4523"/>
    <w:rsid w:val="004D51D6"/>
    <w:rsid w:val="004D6F29"/>
    <w:rsid w:val="004D700B"/>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7F"/>
    <w:rsid w:val="004E7E60"/>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2BB"/>
    <w:rsid w:val="004F7922"/>
    <w:rsid w:val="004F7A1F"/>
    <w:rsid w:val="004F7B47"/>
    <w:rsid w:val="0050079C"/>
    <w:rsid w:val="0050106A"/>
    <w:rsid w:val="005010BC"/>
    <w:rsid w:val="0050537D"/>
    <w:rsid w:val="005060AE"/>
    <w:rsid w:val="00506690"/>
    <w:rsid w:val="005068C4"/>
    <w:rsid w:val="0050790B"/>
    <w:rsid w:val="00507BC5"/>
    <w:rsid w:val="0051037C"/>
    <w:rsid w:val="0051050F"/>
    <w:rsid w:val="0051056B"/>
    <w:rsid w:val="00510DDC"/>
    <w:rsid w:val="005131A2"/>
    <w:rsid w:val="00513BB9"/>
    <w:rsid w:val="0051440E"/>
    <w:rsid w:val="00514B53"/>
    <w:rsid w:val="00515061"/>
    <w:rsid w:val="00515502"/>
    <w:rsid w:val="00515973"/>
    <w:rsid w:val="00517AC8"/>
    <w:rsid w:val="00517C3E"/>
    <w:rsid w:val="00520C63"/>
    <w:rsid w:val="00520E31"/>
    <w:rsid w:val="005212F4"/>
    <w:rsid w:val="00521908"/>
    <w:rsid w:val="0052397A"/>
    <w:rsid w:val="00524138"/>
    <w:rsid w:val="00524154"/>
    <w:rsid w:val="005256D6"/>
    <w:rsid w:val="00525AD8"/>
    <w:rsid w:val="00526429"/>
    <w:rsid w:val="005266C1"/>
    <w:rsid w:val="005267F4"/>
    <w:rsid w:val="005268C4"/>
    <w:rsid w:val="00527317"/>
    <w:rsid w:val="00527ED6"/>
    <w:rsid w:val="00527F6A"/>
    <w:rsid w:val="00531064"/>
    <w:rsid w:val="00531E92"/>
    <w:rsid w:val="005322F1"/>
    <w:rsid w:val="005324D7"/>
    <w:rsid w:val="005335A2"/>
    <w:rsid w:val="00533A13"/>
    <w:rsid w:val="00533D52"/>
    <w:rsid w:val="00533DEC"/>
    <w:rsid w:val="0053618A"/>
    <w:rsid w:val="005362D2"/>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82D"/>
    <w:rsid w:val="00550AC5"/>
    <w:rsid w:val="00550B7E"/>
    <w:rsid w:val="00551052"/>
    <w:rsid w:val="005524ED"/>
    <w:rsid w:val="00553948"/>
    <w:rsid w:val="00554C03"/>
    <w:rsid w:val="00554C58"/>
    <w:rsid w:val="005550F9"/>
    <w:rsid w:val="00556338"/>
    <w:rsid w:val="00556441"/>
    <w:rsid w:val="00557031"/>
    <w:rsid w:val="00557C4C"/>
    <w:rsid w:val="00557DC7"/>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2C04"/>
    <w:rsid w:val="00583D43"/>
    <w:rsid w:val="005846C3"/>
    <w:rsid w:val="00584F04"/>
    <w:rsid w:val="00585623"/>
    <w:rsid w:val="005857F7"/>
    <w:rsid w:val="00585896"/>
    <w:rsid w:val="0058635A"/>
    <w:rsid w:val="00587D7B"/>
    <w:rsid w:val="005904DB"/>
    <w:rsid w:val="00592825"/>
    <w:rsid w:val="00593D6D"/>
    <w:rsid w:val="00594437"/>
    <w:rsid w:val="00594B70"/>
    <w:rsid w:val="00596CFA"/>
    <w:rsid w:val="005970B9"/>
    <w:rsid w:val="005975CE"/>
    <w:rsid w:val="005A0088"/>
    <w:rsid w:val="005A04F6"/>
    <w:rsid w:val="005A11FE"/>
    <w:rsid w:val="005A14F0"/>
    <w:rsid w:val="005A1726"/>
    <w:rsid w:val="005A1861"/>
    <w:rsid w:val="005A1A31"/>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169"/>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408"/>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77C50"/>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4E38"/>
    <w:rsid w:val="00695AB4"/>
    <w:rsid w:val="00695C78"/>
    <w:rsid w:val="00695E6C"/>
    <w:rsid w:val="00695EAC"/>
    <w:rsid w:val="00696182"/>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92C"/>
    <w:rsid w:val="006B0DA2"/>
    <w:rsid w:val="006B1486"/>
    <w:rsid w:val="006B1D06"/>
    <w:rsid w:val="006B1E7E"/>
    <w:rsid w:val="006B2823"/>
    <w:rsid w:val="006B29DC"/>
    <w:rsid w:val="006B33DB"/>
    <w:rsid w:val="006B3669"/>
    <w:rsid w:val="006B36E5"/>
    <w:rsid w:val="006B3D00"/>
    <w:rsid w:val="006B4CF8"/>
    <w:rsid w:val="006B5FBC"/>
    <w:rsid w:val="006B6ED2"/>
    <w:rsid w:val="006C0230"/>
    <w:rsid w:val="006C0309"/>
    <w:rsid w:val="006C12B4"/>
    <w:rsid w:val="006C1721"/>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F72"/>
    <w:rsid w:val="006D3BF8"/>
    <w:rsid w:val="006D43C1"/>
    <w:rsid w:val="006D5442"/>
    <w:rsid w:val="006D6E4E"/>
    <w:rsid w:val="006D72C1"/>
    <w:rsid w:val="006D7A8E"/>
    <w:rsid w:val="006E00E3"/>
    <w:rsid w:val="006E0196"/>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591A"/>
    <w:rsid w:val="006F01FF"/>
    <w:rsid w:val="006F0CB2"/>
    <w:rsid w:val="006F1C8A"/>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35B"/>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54D8"/>
    <w:rsid w:val="00715577"/>
    <w:rsid w:val="00715975"/>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E72"/>
    <w:rsid w:val="0072608B"/>
    <w:rsid w:val="007263A2"/>
    <w:rsid w:val="007266B9"/>
    <w:rsid w:val="00727351"/>
    <w:rsid w:val="00727AC5"/>
    <w:rsid w:val="00727C65"/>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270C"/>
    <w:rsid w:val="00742D32"/>
    <w:rsid w:val="00742E9B"/>
    <w:rsid w:val="007444E6"/>
    <w:rsid w:val="00745262"/>
    <w:rsid w:val="0074592C"/>
    <w:rsid w:val="00746098"/>
    <w:rsid w:val="00746D58"/>
    <w:rsid w:val="00746E66"/>
    <w:rsid w:val="00747578"/>
    <w:rsid w:val="00751073"/>
    <w:rsid w:val="00751AF2"/>
    <w:rsid w:val="00751BD2"/>
    <w:rsid w:val="00752188"/>
    <w:rsid w:val="00752CC6"/>
    <w:rsid w:val="00753938"/>
    <w:rsid w:val="007543CE"/>
    <w:rsid w:val="00754558"/>
    <w:rsid w:val="0075497E"/>
    <w:rsid w:val="00754A29"/>
    <w:rsid w:val="00755989"/>
    <w:rsid w:val="00755BCF"/>
    <w:rsid w:val="00756100"/>
    <w:rsid w:val="00756C5F"/>
    <w:rsid w:val="00756D69"/>
    <w:rsid w:val="00757029"/>
    <w:rsid w:val="007602D4"/>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2F0"/>
    <w:rsid w:val="00771CAC"/>
    <w:rsid w:val="00772036"/>
    <w:rsid w:val="00772E69"/>
    <w:rsid w:val="00773605"/>
    <w:rsid w:val="007739A3"/>
    <w:rsid w:val="007739FB"/>
    <w:rsid w:val="00773BD9"/>
    <w:rsid w:val="00773CB0"/>
    <w:rsid w:val="00773D71"/>
    <w:rsid w:val="007741C5"/>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0C00"/>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482"/>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5306"/>
    <w:rsid w:val="007E54B8"/>
    <w:rsid w:val="007E5921"/>
    <w:rsid w:val="007E5D12"/>
    <w:rsid w:val="007E677F"/>
    <w:rsid w:val="007E6B25"/>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3D9F"/>
    <w:rsid w:val="008465B4"/>
    <w:rsid w:val="00846D25"/>
    <w:rsid w:val="00850013"/>
    <w:rsid w:val="008500DD"/>
    <w:rsid w:val="00850191"/>
    <w:rsid w:val="00851E96"/>
    <w:rsid w:val="00852FA5"/>
    <w:rsid w:val="00853B70"/>
    <w:rsid w:val="00853F7D"/>
    <w:rsid w:val="0085517F"/>
    <w:rsid w:val="0085562D"/>
    <w:rsid w:val="00855A78"/>
    <w:rsid w:val="00856012"/>
    <w:rsid w:val="00856154"/>
    <w:rsid w:val="00856286"/>
    <w:rsid w:val="0085657E"/>
    <w:rsid w:val="008576B0"/>
    <w:rsid w:val="0086003A"/>
    <w:rsid w:val="00860296"/>
    <w:rsid w:val="00860423"/>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66E"/>
    <w:rsid w:val="0087099A"/>
    <w:rsid w:val="00870D79"/>
    <w:rsid w:val="00871333"/>
    <w:rsid w:val="00872386"/>
    <w:rsid w:val="008726D7"/>
    <w:rsid w:val="0087278A"/>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4371"/>
    <w:rsid w:val="0088452F"/>
    <w:rsid w:val="00884B7A"/>
    <w:rsid w:val="00884D47"/>
    <w:rsid w:val="00886AFE"/>
    <w:rsid w:val="00887392"/>
    <w:rsid w:val="00890C40"/>
    <w:rsid w:val="00890C4B"/>
    <w:rsid w:val="008912A7"/>
    <w:rsid w:val="0089183A"/>
    <w:rsid w:val="008920B4"/>
    <w:rsid w:val="008925EB"/>
    <w:rsid w:val="008926F5"/>
    <w:rsid w:val="00893104"/>
    <w:rsid w:val="00893432"/>
    <w:rsid w:val="00893936"/>
    <w:rsid w:val="00893BFD"/>
    <w:rsid w:val="00893CE2"/>
    <w:rsid w:val="00893F41"/>
    <w:rsid w:val="00895144"/>
    <w:rsid w:val="0089594D"/>
    <w:rsid w:val="0089655C"/>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5775"/>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C24"/>
    <w:rsid w:val="008E2626"/>
    <w:rsid w:val="008E27A9"/>
    <w:rsid w:val="008E323C"/>
    <w:rsid w:val="008E35A6"/>
    <w:rsid w:val="008E36D9"/>
    <w:rsid w:val="008E3A5C"/>
    <w:rsid w:val="008E3A9A"/>
    <w:rsid w:val="008E429E"/>
    <w:rsid w:val="008E4412"/>
    <w:rsid w:val="008E4D6D"/>
    <w:rsid w:val="008E5938"/>
    <w:rsid w:val="008F1D99"/>
    <w:rsid w:val="008F1E3D"/>
    <w:rsid w:val="008F2F11"/>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D97"/>
    <w:rsid w:val="00906EA2"/>
    <w:rsid w:val="00907278"/>
    <w:rsid w:val="009077DC"/>
    <w:rsid w:val="00907D68"/>
    <w:rsid w:val="0091112B"/>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5476"/>
    <w:rsid w:val="00935DEF"/>
    <w:rsid w:val="009365C7"/>
    <w:rsid w:val="00936EA5"/>
    <w:rsid w:val="00937114"/>
    <w:rsid w:val="0094015D"/>
    <w:rsid w:val="00941101"/>
    <w:rsid w:val="009418D4"/>
    <w:rsid w:val="00941B13"/>
    <w:rsid w:val="009441DB"/>
    <w:rsid w:val="00944834"/>
    <w:rsid w:val="00946128"/>
    <w:rsid w:val="0094633F"/>
    <w:rsid w:val="00946831"/>
    <w:rsid w:val="009475C1"/>
    <w:rsid w:val="009477CB"/>
    <w:rsid w:val="009477D9"/>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DE4"/>
    <w:rsid w:val="00961164"/>
    <w:rsid w:val="00961A4F"/>
    <w:rsid w:val="00962B2E"/>
    <w:rsid w:val="00962D9E"/>
    <w:rsid w:val="00962FB8"/>
    <w:rsid w:val="0096373F"/>
    <w:rsid w:val="00964007"/>
    <w:rsid w:val="009643F4"/>
    <w:rsid w:val="009648FC"/>
    <w:rsid w:val="00964E1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C2C"/>
    <w:rsid w:val="009A520A"/>
    <w:rsid w:val="009A59B3"/>
    <w:rsid w:val="009A5F76"/>
    <w:rsid w:val="009A5FAE"/>
    <w:rsid w:val="009A7E7C"/>
    <w:rsid w:val="009B0479"/>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C761E"/>
    <w:rsid w:val="009D03B7"/>
    <w:rsid w:val="009D07AD"/>
    <w:rsid w:val="009D0824"/>
    <w:rsid w:val="009D1654"/>
    <w:rsid w:val="009D1BDB"/>
    <w:rsid w:val="009D2F9C"/>
    <w:rsid w:val="009D3505"/>
    <w:rsid w:val="009D4207"/>
    <w:rsid w:val="009D4E4A"/>
    <w:rsid w:val="009D5130"/>
    <w:rsid w:val="009D53D1"/>
    <w:rsid w:val="009D53FB"/>
    <w:rsid w:val="009D6081"/>
    <w:rsid w:val="009D678C"/>
    <w:rsid w:val="009D6B9A"/>
    <w:rsid w:val="009D76B5"/>
    <w:rsid w:val="009D7BC7"/>
    <w:rsid w:val="009D7BD2"/>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A20"/>
    <w:rsid w:val="00A10FDE"/>
    <w:rsid w:val="00A117D5"/>
    <w:rsid w:val="00A11984"/>
    <w:rsid w:val="00A131F5"/>
    <w:rsid w:val="00A133C1"/>
    <w:rsid w:val="00A13414"/>
    <w:rsid w:val="00A13F2D"/>
    <w:rsid w:val="00A1475E"/>
    <w:rsid w:val="00A14F78"/>
    <w:rsid w:val="00A14F81"/>
    <w:rsid w:val="00A1535F"/>
    <w:rsid w:val="00A15CB1"/>
    <w:rsid w:val="00A15E84"/>
    <w:rsid w:val="00A16021"/>
    <w:rsid w:val="00A162C5"/>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37D5D"/>
    <w:rsid w:val="00A4008C"/>
    <w:rsid w:val="00A402A8"/>
    <w:rsid w:val="00A40685"/>
    <w:rsid w:val="00A40E2F"/>
    <w:rsid w:val="00A41819"/>
    <w:rsid w:val="00A41C9A"/>
    <w:rsid w:val="00A41D73"/>
    <w:rsid w:val="00A429BD"/>
    <w:rsid w:val="00A42B2E"/>
    <w:rsid w:val="00A433E8"/>
    <w:rsid w:val="00A4358B"/>
    <w:rsid w:val="00A43A1D"/>
    <w:rsid w:val="00A44854"/>
    <w:rsid w:val="00A44A45"/>
    <w:rsid w:val="00A45E1A"/>
    <w:rsid w:val="00A46859"/>
    <w:rsid w:val="00A46D39"/>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3BFC"/>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462"/>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69D"/>
    <w:rsid w:val="00AF672C"/>
    <w:rsid w:val="00AF7389"/>
    <w:rsid w:val="00AF7C37"/>
    <w:rsid w:val="00B00378"/>
    <w:rsid w:val="00B00D91"/>
    <w:rsid w:val="00B00E84"/>
    <w:rsid w:val="00B03235"/>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8F0"/>
    <w:rsid w:val="00B24BE9"/>
    <w:rsid w:val="00B25956"/>
    <w:rsid w:val="00B25F8C"/>
    <w:rsid w:val="00B260BE"/>
    <w:rsid w:val="00B26677"/>
    <w:rsid w:val="00B269D0"/>
    <w:rsid w:val="00B26A96"/>
    <w:rsid w:val="00B274E3"/>
    <w:rsid w:val="00B2765C"/>
    <w:rsid w:val="00B27C4B"/>
    <w:rsid w:val="00B27FC0"/>
    <w:rsid w:val="00B30563"/>
    <w:rsid w:val="00B30A76"/>
    <w:rsid w:val="00B31204"/>
    <w:rsid w:val="00B31CB6"/>
    <w:rsid w:val="00B32295"/>
    <w:rsid w:val="00B32B21"/>
    <w:rsid w:val="00B33024"/>
    <w:rsid w:val="00B33AB5"/>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10E"/>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015"/>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1C6D"/>
    <w:rsid w:val="00BB20B2"/>
    <w:rsid w:val="00BB2ACE"/>
    <w:rsid w:val="00BB2E4E"/>
    <w:rsid w:val="00BB2E62"/>
    <w:rsid w:val="00BB36C9"/>
    <w:rsid w:val="00BB7EC0"/>
    <w:rsid w:val="00BC0207"/>
    <w:rsid w:val="00BC0A5A"/>
    <w:rsid w:val="00BC0E64"/>
    <w:rsid w:val="00BC25D1"/>
    <w:rsid w:val="00BC3BCB"/>
    <w:rsid w:val="00BC428A"/>
    <w:rsid w:val="00BC4B53"/>
    <w:rsid w:val="00BC4C40"/>
    <w:rsid w:val="00BC5A8D"/>
    <w:rsid w:val="00BC5AE3"/>
    <w:rsid w:val="00BC5BAD"/>
    <w:rsid w:val="00BC61B4"/>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299"/>
    <w:rsid w:val="00BE246C"/>
    <w:rsid w:val="00BE2657"/>
    <w:rsid w:val="00BE314D"/>
    <w:rsid w:val="00BE37AE"/>
    <w:rsid w:val="00BE3B14"/>
    <w:rsid w:val="00BE3C65"/>
    <w:rsid w:val="00BE472D"/>
    <w:rsid w:val="00BE6F37"/>
    <w:rsid w:val="00BE7F4D"/>
    <w:rsid w:val="00BF03C0"/>
    <w:rsid w:val="00BF0608"/>
    <w:rsid w:val="00BF0EBF"/>
    <w:rsid w:val="00BF21D4"/>
    <w:rsid w:val="00BF2DDC"/>
    <w:rsid w:val="00BF32E9"/>
    <w:rsid w:val="00BF3D30"/>
    <w:rsid w:val="00BF4A15"/>
    <w:rsid w:val="00BF4DAE"/>
    <w:rsid w:val="00BF4E0E"/>
    <w:rsid w:val="00BF4E27"/>
    <w:rsid w:val="00BF537B"/>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E6B"/>
    <w:rsid w:val="00C24FFB"/>
    <w:rsid w:val="00C25CDC"/>
    <w:rsid w:val="00C25CFF"/>
    <w:rsid w:val="00C25EA6"/>
    <w:rsid w:val="00C261C1"/>
    <w:rsid w:val="00C26DBF"/>
    <w:rsid w:val="00C27084"/>
    <w:rsid w:val="00C30B0B"/>
    <w:rsid w:val="00C316B4"/>
    <w:rsid w:val="00C332D4"/>
    <w:rsid w:val="00C33E51"/>
    <w:rsid w:val="00C34531"/>
    <w:rsid w:val="00C34A50"/>
    <w:rsid w:val="00C34C45"/>
    <w:rsid w:val="00C34C47"/>
    <w:rsid w:val="00C3701A"/>
    <w:rsid w:val="00C405C8"/>
    <w:rsid w:val="00C40C2F"/>
    <w:rsid w:val="00C41323"/>
    <w:rsid w:val="00C415AC"/>
    <w:rsid w:val="00C4297A"/>
    <w:rsid w:val="00C42B6A"/>
    <w:rsid w:val="00C4360C"/>
    <w:rsid w:val="00C43A0B"/>
    <w:rsid w:val="00C43EDA"/>
    <w:rsid w:val="00C4414C"/>
    <w:rsid w:val="00C45512"/>
    <w:rsid w:val="00C45996"/>
    <w:rsid w:val="00C4602B"/>
    <w:rsid w:val="00C46564"/>
    <w:rsid w:val="00C46762"/>
    <w:rsid w:val="00C47203"/>
    <w:rsid w:val="00C50A02"/>
    <w:rsid w:val="00C51149"/>
    <w:rsid w:val="00C5117E"/>
    <w:rsid w:val="00C512D1"/>
    <w:rsid w:val="00C51856"/>
    <w:rsid w:val="00C51B04"/>
    <w:rsid w:val="00C53CE9"/>
    <w:rsid w:val="00C54749"/>
    <w:rsid w:val="00C54F07"/>
    <w:rsid w:val="00C5531B"/>
    <w:rsid w:val="00C55375"/>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8CA"/>
    <w:rsid w:val="00C93B40"/>
    <w:rsid w:val="00C93DB5"/>
    <w:rsid w:val="00C94CB9"/>
    <w:rsid w:val="00C94F2B"/>
    <w:rsid w:val="00C95C2F"/>
    <w:rsid w:val="00C95F87"/>
    <w:rsid w:val="00C968EF"/>
    <w:rsid w:val="00C9786B"/>
    <w:rsid w:val="00CA0492"/>
    <w:rsid w:val="00CA0A04"/>
    <w:rsid w:val="00CA1C9F"/>
    <w:rsid w:val="00CA2528"/>
    <w:rsid w:val="00CA3232"/>
    <w:rsid w:val="00CA3CAB"/>
    <w:rsid w:val="00CA3FC0"/>
    <w:rsid w:val="00CA6A2E"/>
    <w:rsid w:val="00CA7809"/>
    <w:rsid w:val="00CA7D3E"/>
    <w:rsid w:val="00CB0317"/>
    <w:rsid w:val="00CB0662"/>
    <w:rsid w:val="00CB0A82"/>
    <w:rsid w:val="00CB0F2F"/>
    <w:rsid w:val="00CB1556"/>
    <w:rsid w:val="00CB2913"/>
    <w:rsid w:val="00CB3970"/>
    <w:rsid w:val="00CB42B9"/>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91E"/>
    <w:rsid w:val="00CC2D03"/>
    <w:rsid w:val="00CC2EB0"/>
    <w:rsid w:val="00CC34EE"/>
    <w:rsid w:val="00CC3A4B"/>
    <w:rsid w:val="00CC4675"/>
    <w:rsid w:val="00CC4701"/>
    <w:rsid w:val="00CC4ACA"/>
    <w:rsid w:val="00CC5686"/>
    <w:rsid w:val="00CC56B4"/>
    <w:rsid w:val="00CC59F5"/>
    <w:rsid w:val="00CC5B9B"/>
    <w:rsid w:val="00CC5F95"/>
    <w:rsid w:val="00CC642A"/>
    <w:rsid w:val="00CC733D"/>
    <w:rsid w:val="00CC7E97"/>
    <w:rsid w:val="00CD1255"/>
    <w:rsid w:val="00CD1484"/>
    <w:rsid w:val="00CD1892"/>
    <w:rsid w:val="00CD1D00"/>
    <w:rsid w:val="00CD2308"/>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A7B"/>
    <w:rsid w:val="00D06E71"/>
    <w:rsid w:val="00D0714B"/>
    <w:rsid w:val="00D0764E"/>
    <w:rsid w:val="00D07D82"/>
    <w:rsid w:val="00D10327"/>
    <w:rsid w:val="00D10BE1"/>
    <w:rsid w:val="00D11FE3"/>
    <w:rsid w:val="00D12945"/>
    <w:rsid w:val="00D1343A"/>
    <w:rsid w:val="00D13D50"/>
    <w:rsid w:val="00D14101"/>
    <w:rsid w:val="00D14919"/>
    <w:rsid w:val="00D14E25"/>
    <w:rsid w:val="00D14F7B"/>
    <w:rsid w:val="00D15BF2"/>
    <w:rsid w:val="00D160C4"/>
    <w:rsid w:val="00D165D8"/>
    <w:rsid w:val="00D1724E"/>
    <w:rsid w:val="00D17C2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CDC"/>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21CD"/>
    <w:rsid w:val="00D42B0C"/>
    <w:rsid w:val="00D42D6E"/>
    <w:rsid w:val="00D43DEF"/>
    <w:rsid w:val="00D44259"/>
    <w:rsid w:val="00D45DDC"/>
    <w:rsid w:val="00D4752E"/>
    <w:rsid w:val="00D502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5768A"/>
    <w:rsid w:val="00D605C2"/>
    <w:rsid w:val="00D60733"/>
    <w:rsid w:val="00D61E1D"/>
    <w:rsid w:val="00D629A4"/>
    <w:rsid w:val="00D62BDF"/>
    <w:rsid w:val="00D6312D"/>
    <w:rsid w:val="00D64F1C"/>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1B9B"/>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9A5"/>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91B"/>
    <w:rsid w:val="00DE1A9D"/>
    <w:rsid w:val="00DE1CB1"/>
    <w:rsid w:val="00DE2073"/>
    <w:rsid w:val="00DE2414"/>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1E6"/>
    <w:rsid w:val="00E014E7"/>
    <w:rsid w:val="00E0232F"/>
    <w:rsid w:val="00E026A9"/>
    <w:rsid w:val="00E03445"/>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67D"/>
    <w:rsid w:val="00E25755"/>
    <w:rsid w:val="00E26D2E"/>
    <w:rsid w:val="00E279B2"/>
    <w:rsid w:val="00E3055B"/>
    <w:rsid w:val="00E31699"/>
    <w:rsid w:val="00E31812"/>
    <w:rsid w:val="00E31889"/>
    <w:rsid w:val="00E31CE7"/>
    <w:rsid w:val="00E32F3B"/>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45CE"/>
    <w:rsid w:val="00E6514D"/>
    <w:rsid w:val="00E65161"/>
    <w:rsid w:val="00E652C9"/>
    <w:rsid w:val="00E6593B"/>
    <w:rsid w:val="00E672C6"/>
    <w:rsid w:val="00E70192"/>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2EC9"/>
    <w:rsid w:val="00E93195"/>
    <w:rsid w:val="00E934A7"/>
    <w:rsid w:val="00E9519E"/>
    <w:rsid w:val="00E951D8"/>
    <w:rsid w:val="00E95C2A"/>
    <w:rsid w:val="00E961CB"/>
    <w:rsid w:val="00E963BC"/>
    <w:rsid w:val="00E96D90"/>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72A3"/>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8FA"/>
    <w:rsid w:val="00EB3C9F"/>
    <w:rsid w:val="00EB3CE6"/>
    <w:rsid w:val="00EB3E92"/>
    <w:rsid w:val="00EB3EC3"/>
    <w:rsid w:val="00EB54AB"/>
    <w:rsid w:val="00EB6257"/>
    <w:rsid w:val="00EB68E6"/>
    <w:rsid w:val="00EB71C9"/>
    <w:rsid w:val="00EB7392"/>
    <w:rsid w:val="00EB7B67"/>
    <w:rsid w:val="00EC07F1"/>
    <w:rsid w:val="00EC14EA"/>
    <w:rsid w:val="00EC1E8A"/>
    <w:rsid w:val="00EC302E"/>
    <w:rsid w:val="00EC328C"/>
    <w:rsid w:val="00EC5241"/>
    <w:rsid w:val="00EC56E1"/>
    <w:rsid w:val="00EC594C"/>
    <w:rsid w:val="00EC5B44"/>
    <w:rsid w:val="00EC5C7B"/>
    <w:rsid w:val="00EC66AA"/>
    <w:rsid w:val="00EC6B8F"/>
    <w:rsid w:val="00EC7371"/>
    <w:rsid w:val="00EC7A28"/>
    <w:rsid w:val="00EC7B48"/>
    <w:rsid w:val="00ED0257"/>
    <w:rsid w:val="00ED05A0"/>
    <w:rsid w:val="00ED071B"/>
    <w:rsid w:val="00ED1ADE"/>
    <w:rsid w:val="00ED4A77"/>
    <w:rsid w:val="00ED5981"/>
    <w:rsid w:val="00ED6514"/>
    <w:rsid w:val="00ED66B2"/>
    <w:rsid w:val="00ED71BA"/>
    <w:rsid w:val="00ED73A1"/>
    <w:rsid w:val="00ED7BCB"/>
    <w:rsid w:val="00ED7CA2"/>
    <w:rsid w:val="00EE014B"/>
    <w:rsid w:val="00EE13DA"/>
    <w:rsid w:val="00EE1595"/>
    <w:rsid w:val="00EE2087"/>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21"/>
    <w:rsid w:val="00F605DC"/>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B58"/>
    <w:rsid w:val="00F67E81"/>
    <w:rsid w:val="00F70A50"/>
    <w:rsid w:val="00F71C68"/>
    <w:rsid w:val="00F724E2"/>
    <w:rsid w:val="00F725DD"/>
    <w:rsid w:val="00F74103"/>
    <w:rsid w:val="00F745A4"/>
    <w:rsid w:val="00F74C0C"/>
    <w:rsid w:val="00F75BB5"/>
    <w:rsid w:val="00F75FD5"/>
    <w:rsid w:val="00F7604C"/>
    <w:rsid w:val="00F773A9"/>
    <w:rsid w:val="00F81623"/>
    <w:rsid w:val="00F81D25"/>
    <w:rsid w:val="00F829B9"/>
    <w:rsid w:val="00F82EA0"/>
    <w:rsid w:val="00F83045"/>
    <w:rsid w:val="00F83615"/>
    <w:rsid w:val="00F8421D"/>
    <w:rsid w:val="00F84621"/>
    <w:rsid w:val="00F85329"/>
    <w:rsid w:val="00F86079"/>
    <w:rsid w:val="00F87282"/>
    <w:rsid w:val="00F878CD"/>
    <w:rsid w:val="00F87905"/>
    <w:rsid w:val="00F90C1F"/>
    <w:rsid w:val="00F910AF"/>
    <w:rsid w:val="00F9199A"/>
    <w:rsid w:val="00F91A44"/>
    <w:rsid w:val="00F9217B"/>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665F"/>
    <w:rsid w:val="00FC6D59"/>
    <w:rsid w:val="00FC78F5"/>
    <w:rsid w:val="00FC7AD2"/>
    <w:rsid w:val="00FC7FC0"/>
    <w:rsid w:val="00FD0130"/>
    <w:rsid w:val="00FD10B3"/>
    <w:rsid w:val="00FD11C3"/>
    <w:rsid w:val="00FD154E"/>
    <w:rsid w:val="00FD24D7"/>
    <w:rsid w:val="00FD29CE"/>
    <w:rsid w:val="00FD3AE2"/>
    <w:rsid w:val="00FD3E41"/>
    <w:rsid w:val="00FD5AE4"/>
    <w:rsid w:val="00FD5F25"/>
    <w:rsid w:val="00FD60BE"/>
    <w:rsid w:val="00FD6894"/>
    <w:rsid w:val="00FD6AF0"/>
    <w:rsid w:val="00FD704D"/>
    <w:rsid w:val="00FD74E3"/>
    <w:rsid w:val="00FD79B8"/>
    <w:rsid w:val="00FE0AD1"/>
    <w:rsid w:val="00FE1852"/>
    <w:rsid w:val="00FE32B7"/>
    <w:rsid w:val="00FE33DB"/>
    <w:rsid w:val="00FE33F5"/>
    <w:rsid w:val="00FE37DD"/>
    <w:rsid w:val="00FE3980"/>
    <w:rsid w:val="00FE3C31"/>
    <w:rsid w:val="00FE4015"/>
    <w:rsid w:val="00FE44F5"/>
    <w:rsid w:val="00FE4783"/>
    <w:rsid w:val="00FE480D"/>
    <w:rsid w:val="00FE4ACC"/>
    <w:rsid w:val="00FE7DD1"/>
    <w:rsid w:val="00FF0B4F"/>
    <w:rsid w:val="00FF0B70"/>
    <w:rsid w:val="00FF1A06"/>
    <w:rsid w:val="00FF1AD3"/>
    <w:rsid w:val="00FF1B46"/>
    <w:rsid w:val="00FF219D"/>
    <w:rsid w:val="00FF2693"/>
    <w:rsid w:val="00FF2BB3"/>
    <w:rsid w:val="00FF49B4"/>
    <w:rsid w:val="00FF49F4"/>
    <w:rsid w:val="00FF651D"/>
    <w:rsid w:val="00FF6843"/>
    <w:rsid w:val="00FF7724"/>
    <w:rsid w:val="00FF78E2"/>
    <w:rsid w:val="010651D9"/>
    <w:rsid w:val="010F399F"/>
    <w:rsid w:val="013730A5"/>
    <w:rsid w:val="014331A4"/>
    <w:rsid w:val="01683013"/>
    <w:rsid w:val="01ED469A"/>
    <w:rsid w:val="01F403F6"/>
    <w:rsid w:val="01F62F61"/>
    <w:rsid w:val="01F94249"/>
    <w:rsid w:val="02122095"/>
    <w:rsid w:val="021F03E2"/>
    <w:rsid w:val="02394C0B"/>
    <w:rsid w:val="027D7494"/>
    <w:rsid w:val="02C53449"/>
    <w:rsid w:val="02F40EDA"/>
    <w:rsid w:val="02FC0103"/>
    <w:rsid w:val="03052FE0"/>
    <w:rsid w:val="030B57D7"/>
    <w:rsid w:val="03357AA9"/>
    <w:rsid w:val="03411FB9"/>
    <w:rsid w:val="0344728F"/>
    <w:rsid w:val="034E0BF0"/>
    <w:rsid w:val="0361265C"/>
    <w:rsid w:val="036721A1"/>
    <w:rsid w:val="036D1000"/>
    <w:rsid w:val="036E3E94"/>
    <w:rsid w:val="038E03C2"/>
    <w:rsid w:val="03A450E3"/>
    <w:rsid w:val="03BC7892"/>
    <w:rsid w:val="03DD35E4"/>
    <w:rsid w:val="03FD2384"/>
    <w:rsid w:val="04090E60"/>
    <w:rsid w:val="040C0819"/>
    <w:rsid w:val="04462F5E"/>
    <w:rsid w:val="04471852"/>
    <w:rsid w:val="047C599F"/>
    <w:rsid w:val="04903357"/>
    <w:rsid w:val="04C43FCB"/>
    <w:rsid w:val="04D72BD5"/>
    <w:rsid w:val="04EF66DB"/>
    <w:rsid w:val="05085485"/>
    <w:rsid w:val="052165CE"/>
    <w:rsid w:val="0567224C"/>
    <w:rsid w:val="056D7096"/>
    <w:rsid w:val="05746676"/>
    <w:rsid w:val="057A4945"/>
    <w:rsid w:val="05890D2F"/>
    <w:rsid w:val="05A32B85"/>
    <w:rsid w:val="05AE56E3"/>
    <w:rsid w:val="05BD4511"/>
    <w:rsid w:val="05C9431B"/>
    <w:rsid w:val="05EF21A1"/>
    <w:rsid w:val="05F872A7"/>
    <w:rsid w:val="06043E9E"/>
    <w:rsid w:val="06126CB7"/>
    <w:rsid w:val="061E1CAC"/>
    <w:rsid w:val="063B5309"/>
    <w:rsid w:val="065A6178"/>
    <w:rsid w:val="06831528"/>
    <w:rsid w:val="06835B14"/>
    <w:rsid w:val="068E19BA"/>
    <w:rsid w:val="06B6402C"/>
    <w:rsid w:val="06C47199"/>
    <w:rsid w:val="06CF77AC"/>
    <w:rsid w:val="06DF0467"/>
    <w:rsid w:val="06EC61C4"/>
    <w:rsid w:val="06F537E7"/>
    <w:rsid w:val="07702425"/>
    <w:rsid w:val="077961C6"/>
    <w:rsid w:val="077E40A3"/>
    <w:rsid w:val="078A03D3"/>
    <w:rsid w:val="07941252"/>
    <w:rsid w:val="079E5C2C"/>
    <w:rsid w:val="07A7582F"/>
    <w:rsid w:val="07AB0349"/>
    <w:rsid w:val="07D10DB9"/>
    <w:rsid w:val="07D82ABE"/>
    <w:rsid w:val="07D94EB6"/>
    <w:rsid w:val="07E035B9"/>
    <w:rsid w:val="080E7653"/>
    <w:rsid w:val="081E231A"/>
    <w:rsid w:val="0821786C"/>
    <w:rsid w:val="08DC31AF"/>
    <w:rsid w:val="08E92ED7"/>
    <w:rsid w:val="08EF6326"/>
    <w:rsid w:val="09322AD0"/>
    <w:rsid w:val="09523172"/>
    <w:rsid w:val="09694018"/>
    <w:rsid w:val="0974058A"/>
    <w:rsid w:val="097F55EA"/>
    <w:rsid w:val="09994C3B"/>
    <w:rsid w:val="09E85885"/>
    <w:rsid w:val="09EC5C14"/>
    <w:rsid w:val="09F064E7"/>
    <w:rsid w:val="0A3E54A5"/>
    <w:rsid w:val="0A5B7E63"/>
    <w:rsid w:val="0A70000C"/>
    <w:rsid w:val="0A711124"/>
    <w:rsid w:val="0AA051FF"/>
    <w:rsid w:val="0AA06DB3"/>
    <w:rsid w:val="0AAB1E57"/>
    <w:rsid w:val="0AFA13CC"/>
    <w:rsid w:val="0B0267BC"/>
    <w:rsid w:val="0B352F04"/>
    <w:rsid w:val="0B3F6AC1"/>
    <w:rsid w:val="0B582596"/>
    <w:rsid w:val="0B7C44D7"/>
    <w:rsid w:val="0BA75FB3"/>
    <w:rsid w:val="0BC92AFC"/>
    <w:rsid w:val="0BDC6C91"/>
    <w:rsid w:val="0BE8391A"/>
    <w:rsid w:val="0C1C7A68"/>
    <w:rsid w:val="0C87121B"/>
    <w:rsid w:val="0C8E3A4F"/>
    <w:rsid w:val="0C9870EE"/>
    <w:rsid w:val="0CBD0497"/>
    <w:rsid w:val="0CC2416B"/>
    <w:rsid w:val="0CE21134"/>
    <w:rsid w:val="0CE51C08"/>
    <w:rsid w:val="0CE95F54"/>
    <w:rsid w:val="0CEA3EAD"/>
    <w:rsid w:val="0D3A65FB"/>
    <w:rsid w:val="0D710786"/>
    <w:rsid w:val="0D84512F"/>
    <w:rsid w:val="0D8463C1"/>
    <w:rsid w:val="0DAC78C2"/>
    <w:rsid w:val="0DD42135"/>
    <w:rsid w:val="0DDF2AFB"/>
    <w:rsid w:val="0DF702FE"/>
    <w:rsid w:val="0E2B124B"/>
    <w:rsid w:val="0E53677C"/>
    <w:rsid w:val="0E7D26B6"/>
    <w:rsid w:val="0E924E11"/>
    <w:rsid w:val="0E9E6E62"/>
    <w:rsid w:val="0EB36461"/>
    <w:rsid w:val="0EB750E2"/>
    <w:rsid w:val="0F657030"/>
    <w:rsid w:val="0F816ACD"/>
    <w:rsid w:val="0FB94AA9"/>
    <w:rsid w:val="0FD44A90"/>
    <w:rsid w:val="10550967"/>
    <w:rsid w:val="1085333E"/>
    <w:rsid w:val="10913E33"/>
    <w:rsid w:val="10A737F6"/>
    <w:rsid w:val="10B7152C"/>
    <w:rsid w:val="10E010C1"/>
    <w:rsid w:val="10EF73F7"/>
    <w:rsid w:val="10FC16EA"/>
    <w:rsid w:val="110358CF"/>
    <w:rsid w:val="111849F8"/>
    <w:rsid w:val="112930C0"/>
    <w:rsid w:val="118963A1"/>
    <w:rsid w:val="11A17EE3"/>
    <w:rsid w:val="11E675E7"/>
    <w:rsid w:val="120A5DA9"/>
    <w:rsid w:val="12163467"/>
    <w:rsid w:val="121865DB"/>
    <w:rsid w:val="12741B5C"/>
    <w:rsid w:val="127723A9"/>
    <w:rsid w:val="128B14A3"/>
    <w:rsid w:val="13072A44"/>
    <w:rsid w:val="130B45A9"/>
    <w:rsid w:val="13173672"/>
    <w:rsid w:val="13414693"/>
    <w:rsid w:val="13497FBE"/>
    <w:rsid w:val="135B48AB"/>
    <w:rsid w:val="135D2E40"/>
    <w:rsid w:val="137C5628"/>
    <w:rsid w:val="138403CC"/>
    <w:rsid w:val="13AA5959"/>
    <w:rsid w:val="13B81E24"/>
    <w:rsid w:val="145543E5"/>
    <w:rsid w:val="146855F8"/>
    <w:rsid w:val="149B4CA4"/>
    <w:rsid w:val="14E530ED"/>
    <w:rsid w:val="15280237"/>
    <w:rsid w:val="15761F97"/>
    <w:rsid w:val="15C27407"/>
    <w:rsid w:val="15C312F8"/>
    <w:rsid w:val="161458E9"/>
    <w:rsid w:val="16167586"/>
    <w:rsid w:val="162F1D9B"/>
    <w:rsid w:val="1670582E"/>
    <w:rsid w:val="16A11B76"/>
    <w:rsid w:val="16E50215"/>
    <w:rsid w:val="16ED658F"/>
    <w:rsid w:val="16FB6BF7"/>
    <w:rsid w:val="170D1560"/>
    <w:rsid w:val="17122F1C"/>
    <w:rsid w:val="1725434E"/>
    <w:rsid w:val="17285513"/>
    <w:rsid w:val="172872C1"/>
    <w:rsid w:val="17315947"/>
    <w:rsid w:val="174C5939"/>
    <w:rsid w:val="17575842"/>
    <w:rsid w:val="1776002C"/>
    <w:rsid w:val="179D1A88"/>
    <w:rsid w:val="17A01DF7"/>
    <w:rsid w:val="17A34593"/>
    <w:rsid w:val="17A56B63"/>
    <w:rsid w:val="17BC0C0E"/>
    <w:rsid w:val="17BE67C6"/>
    <w:rsid w:val="17DF2075"/>
    <w:rsid w:val="17F65752"/>
    <w:rsid w:val="181E7FC0"/>
    <w:rsid w:val="187B777C"/>
    <w:rsid w:val="188835D3"/>
    <w:rsid w:val="189A77EE"/>
    <w:rsid w:val="18B352B0"/>
    <w:rsid w:val="18C33745"/>
    <w:rsid w:val="18CB25F9"/>
    <w:rsid w:val="190A1374"/>
    <w:rsid w:val="195E3AFB"/>
    <w:rsid w:val="198729C4"/>
    <w:rsid w:val="19A76BC3"/>
    <w:rsid w:val="1A44389A"/>
    <w:rsid w:val="1A554870"/>
    <w:rsid w:val="1A6C1BBA"/>
    <w:rsid w:val="1A7867B1"/>
    <w:rsid w:val="1B0D5A1A"/>
    <w:rsid w:val="1B100843"/>
    <w:rsid w:val="1B1F47F5"/>
    <w:rsid w:val="1B2A271F"/>
    <w:rsid w:val="1B4D5548"/>
    <w:rsid w:val="1B5865E6"/>
    <w:rsid w:val="1B9F0378"/>
    <w:rsid w:val="1BB70A6C"/>
    <w:rsid w:val="1BBC26CD"/>
    <w:rsid w:val="1BC05554"/>
    <w:rsid w:val="1BF0428C"/>
    <w:rsid w:val="1C202C5C"/>
    <w:rsid w:val="1C35495A"/>
    <w:rsid w:val="1C370605"/>
    <w:rsid w:val="1C705335"/>
    <w:rsid w:val="1C73104C"/>
    <w:rsid w:val="1C944144"/>
    <w:rsid w:val="1C986C96"/>
    <w:rsid w:val="1CAE6BBC"/>
    <w:rsid w:val="1CCC6940"/>
    <w:rsid w:val="1CE37308"/>
    <w:rsid w:val="1CE67443"/>
    <w:rsid w:val="1CE974F2"/>
    <w:rsid w:val="1CF902A5"/>
    <w:rsid w:val="1CFB79C6"/>
    <w:rsid w:val="1D061E52"/>
    <w:rsid w:val="1D266CE1"/>
    <w:rsid w:val="1D295B40"/>
    <w:rsid w:val="1D3963AF"/>
    <w:rsid w:val="1D4D5E8E"/>
    <w:rsid w:val="1D762EC8"/>
    <w:rsid w:val="1D7F6A82"/>
    <w:rsid w:val="1D8175A5"/>
    <w:rsid w:val="1D832687"/>
    <w:rsid w:val="1D83500D"/>
    <w:rsid w:val="1E0A530C"/>
    <w:rsid w:val="1E0D2147"/>
    <w:rsid w:val="1E3465FF"/>
    <w:rsid w:val="1E601A36"/>
    <w:rsid w:val="1E714A66"/>
    <w:rsid w:val="1E796654"/>
    <w:rsid w:val="1E886C9D"/>
    <w:rsid w:val="1EAD0046"/>
    <w:rsid w:val="1EAE09F3"/>
    <w:rsid w:val="1ECF22A8"/>
    <w:rsid w:val="1EDD3086"/>
    <w:rsid w:val="1EE551B2"/>
    <w:rsid w:val="1EE7764E"/>
    <w:rsid w:val="1EF34658"/>
    <w:rsid w:val="1F0A6DC3"/>
    <w:rsid w:val="1F0F54A8"/>
    <w:rsid w:val="1F3B6EBB"/>
    <w:rsid w:val="1F62533A"/>
    <w:rsid w:val="1F7A6B27"/>
    <w:rsid w:val="1F7C7B91"/>
    <w:rsid w:val="1FC13803"/>
    <w:rsid w:val="1FC17A0D"/>
    <w:rsid w:val="1FE627DD"/>
    <w:rsid w:val="1FE868A9"/>
    <w:rsid w:val="1FF5350D"/>
    <w:rsid w:val="20036B1D"/>
    <w:rsid w:val="204E6847"/>
    <w:rsid w:val="207F084A"/>
    <w:rsid w:val="20AD351B"/>
    <w:rsid w:val="20BA3BA7"/>
    <w:rsid w:val="20C75D9C"/>
    <w:rsid w:val="20E250CB"/>
    <w:rsid w:val="213B0D78"/>
    <w:rsid w:val="214473ED"/>
    <w:rsid w:val="21505D92"/>
    <w:rsid w:val="21722593"/>
    <w:rsid w:val="217658F9"/>
    <w:rsid w:val="217C668E"/>
    <w:rsid w:val="219E6AFD"/>
    <w:rsid w:val="21DB4464"/>
    <w:rsid w:val="2217605D"/>
    <w:rsid w:val="222B63E9"/>
    <w:rsid w:val="225D5AB1"/>
    <w:rsid w:val="22686418"/>
    <w:rsid w:val="22E77460"/>
    <w:rsid w:val="23055FD8"/>
    <w:rsid w:val="2329689A"/>
    <w:rsid w:val="232A7827"/>
    <w:rsid w:val="23353491"/>
    <w:rsid w:val="2351124D"/>
    <w:rsid w:val="236478D2"/>
    <w:rsid w:val="237F19E8"/>
    <w:rsid w:val="23C34B4D"/>
    <w:rsid w:val="23ED0E03"/>
    <w:rsid w:val="244514B2"/>
    <w:rsid w:val="24860EE4"/>
    <w:rsid w:val="24861ACA"/>
    <w:rsid w:val="2490101C"/>
    <w:rsid w:val="24AE56A0"/>
    <w:rsid w:val="24E748D0"/>
    <w:rsid w:val="24EB3563"/>
    <w:rsid w:val="24F06DB3"/>
    <w:rsid w:val="25237CF4"/>
    <w:rsid w:val="25265E74"/>
    <w:rsid w:val="255C221D"/>
    <w:rsid w:val="257E0B86"/>
    <w:rsid w:val="257E5ED0"/>
    <w:rsid w:val="25861231"/>
    <w:rsid w:val="25A556BF"/>
    <w:rsid w:val="25D54AB7"/>
    <w:rsid w:val="25D80104"/>
    <w:rsid w:val="25DD396C"/>
    <w:rsid w:val="26226DDC"/>
    <w:rsid w:val="263A6020"/>
    <w:rsid w:val="2641214D"/>
    <w:rsid w:val="264A1001"/>
    <w:rsid w:val="264D464E"/>
    <w:rsid w:val="26A85D28"/>
    <w:rsid w:val="26BA0A4A"/>
    <w:rsid w:val="26C8461C"/>
    <w:rsid w:val="2702368A"/>
    <w:rsid w:val="2714160F"/>
    <w:rsid w:val="27271343"/>
    <w:rsid w:val="272D6DF0"/>
    <w:rsid w:val="276C7A9B"/>
    <w:rsid w:val="27E65F87"/>
    <w:rsid w:val="28013942"/>
    <w:rsid w:val="28051028"/>
    <w:rsid w:val="2822331D"/>
    <w:rsid w:val="28377363"/>
    <w:rsid w:val="28434545"/>
    <w:rsid w:val="284B5813"/>
    <w:rsid w:val="285F54D9"/>
    <w:rsid w:val="285F6637"/>
    <w:rsid w:val="286363AA"/>
    <w:rsid w:val="286640ED"/>
    <w:rsid w:val="288D4D42"/>
    <w:rsid w:val="28C339E0"/>
    <w:rsid w:val="28CB21A2"/>
    <w:rsid w:val="28EC2844"/>
    <w:rsid w:val="29105867"/>
    <w:rsid w:val="29427D6A"/>
    <w:rsid w:val="29AB625B"/>
    <w:rsid w:val="29C54E43"/>
    <w:rsid w:val="29E70844"/>
    <w:rsid w:val="2A5C57A7"/>
    <w:rsid w:val="2A6B1546"/>
    <w:rsid w:val="2A8D5A19"/>
    <w:rsid w:val="2AC80ACB"/>
    <w:rsid w:val="2B5B5D72"/>
    <w:rsid w:val="2B623021"/>
    <w:rsid w:val="2B715282"/>
    <w:rsid w:val="2B71540F"/>
    <w:rsid w:val="2BA16ED3"/>
    <w:rsid w:val="2BD44BA0"/>
    <w:rsid w:val="2BDE2B57"/>
    <w:rsid w:val="2BEC2B5B"/>
    <w:rsid w:val="2C0933DD"/>
    <w:rsid w:val="2C152DB5"/>
    <w:rsid w:val="2C4630FB"/>
    <w:rsid w:val="2C78619D"/>
    <w:rsid w:val="2C7A0167"/>
    <w:rsid w:val="2C851A17"/>
    <w:rsid w:val="2C857BF3"/>
    <w:rsid w:val="2C9A7991"/>
    <w:rsid w:val="2D0D7B88"/>
    <w:rsid w:val="2D404F0C"/>
    <w:rsid w:val="2D742E08"/>
    <w:rsid w:val="2DBB0A37"/>
    <w:rsid w:val="2DD15014"/>
    <w:rsid w:val="2DD65871"/>
    <w:rsid w:val="2E0F2B31"/>
    <w:rsid w:val="2E1B7598"/>
    <w:rsid w:val="2E3D31FA"/>
    <w:rsid w:val="2E5F5866"/>
    <w:rsid w:val="2E61338C"/>
    <w:rsid w:val="2E677D38"/>
    <w:rsid w:val="2EDC2A13"/>
    <w:rsid w:val="2EE35A04"/>
    <w:rsid w:val="2F274E83"/>
    <w:rsid w:val="2F29570B"/>
    <w:rsid w:val="2F4B0DD2"/>
    <w:rsid w:val="2F8F356E"/>
    <w:rsid w:val="2FD25781"/>
    <w:rsid w:val="2FD951A4"/>
    <w:rsid w:val="2FFD2CC7"/>
    <w:rsid w:val="301165DA"/>
    <w:rsid w:val="30405223"/>
    <w:rsid w:val="30517430"/>
    <w:rsid w:val="308960F0"/>
    <w:rsid w:val="30A15875"/>
    <w:rsid w:val="30A56736"/>
    <w:rsid w:val="30B939DE"/>
    <w:rsid w:val="30CE79A8"/>
    <w:rsid w:val="30EB1633"/>
    <w:rsid w:val="30EF3D39"/>
    <w:rsid w:val="31227527"/>
    <w:rsid w:val="31466A4E"/>
    <w:rsid w:val="314901BE"/>
    <w:rsid w:val="315F16D9"/>
    <w:rsid w:val="317927DB"/>
    <w:rsid w:val="317E6003"/>
    <w:rsid w:val="31870A8C"/>
    <w:rsid w:val="318D3071"/>
    <w:rsid w:val="3193369B"/>
    <w:rsid w:val="319C6071"/>
    <w:rsid w:val="31B22151"/>
    <w:rsid w:val="31BB7257"/>
    <w:rsid w:val="32001F60"/>
    <w:rsid w:val="32062FF1"/>
    <w:rsid w:val="321F6690"/>
    <w:rsid w:val="32482A68"/>
    <w:rsid w:val="3268280F"/>
    <w:rsid w:val="327318E0"/>
    <w:rsid w:val="327F7168"/>
    <w:rsid w:val="328E0844"/>
    <w:rsid w:val="329249EA"/>
    <w:rsid w:val="32953EF6"/>
    <w:rsid w:val="32E3328D"/>
    <w:rsid w:val="32F01CF9"/>
    <w:rsid w:val="33007587"/>
    <w:rsid w:val="33370B5F"/>
    <w:rsid w:val="33405327"/>
    <w:rsid w:val="33430375"/>
    <w:rsid w:val="335742B3"/>
    <w:rsid w:val="33A37E2B"/>
    <w:rsid w:val="33C469FA"/>
    <w:rsid w:val="33D40E25"/>
    <w:rsid w:val="33D75F1F"/>
    <w:rsid w:val="33DF6B01"/>
    <w:rsid w:val="34117602"/>
    <w:rsid w:val="342E63AB"/>
    <w:rsid w:val="344C085E"/>
    <w:rsid w:val="35275551"/>
    <w:rsid w:val="35700359"/>
    <w:rsid w:val="35831047"/>
    <w:rsid w:val="35D408E8"/>
    <w:rsid w:val="35EF127D"/>
    <w:rsid w:val="360B1E2F"/>
    <w:rsid w:val="362C24D2"/>
    <w:rsid w:val="364649EC"/>
    <w:rsid w:val="365302AE"/>
    <w:rsid w:val="3658762C"/>
    <w:rsid w:val="365D67EB"/>
    <w:rsid w:val="36A20866"/>
    <w:rsid w:val="36BB5604"/>
    <w:rsid w:val="36CD591E"/>
    <w:rsid w:val="36EC7FA3"/>
    <w:rsid w:val="370E1BD7"/>
    <w:rsid w:val="37305FF2"/>
    <w:rsid w:val="37672D54"/>
    <w:rsid w:val="379876B4"/>
    <w:rsid w:val="37B26B9E"/>
    <w:rsid w:val="382B66A0"/>
    <w:rsid w:val="386D6DD1"/>
    <w:rsid w:val="388E5275"/>
    <w:rsid w:val="38961E84"/>
    <w:rsid w:val="38981423"/>
    <w:rsid w:val="38E30E42"/>
    <w:rsid w:val="38E40555"/>
    <w:rsid w:val="398576CC"/>
    <w:rsid w:val="39990BEE"/>
    <w:rsid w:val="399C304B"/>
    <w:rsid w:val="39A363FB"/>
    <w:rsid w:val="39B33898"/>
    <w:rsid w:val="39B439E6"/>
    <w:rsid w:val="39D0704E"/>
    <w:rsid w:val="39DB1AA4"/>
    <w:rsid w:val="39E62997"/>
    <w:rsid w:val="3A045513"/>
    <w:rsid w:val="3A2259A8"/>
    <w:rsid w:val="3A322C5A"/>
    <w:rsid w:val="3A561B54"/>
    <w:rsid w:val="3A667F7C"/>
    <w:rsid w:val="3B0227C4"/>
    <w:rsid w:val="3B252077"/>
    <w:rsid w:val="3B3221E0"/>
    <w:rsid w:val="3BA7084C"/>
    <w:rsid w:val="3BC9431F"/>
    <w:rsid w:val="3BD31641"/>
    <w:rsid w:val="3BE850ED"/>
    <w:rsid w:val="3BED44B1"/>
    <w:rsid w:val="3C3B0FB9"/>
    <w:rsid w:val="3C5F759A"/>
    <w:rsid w:val="3C7249B6"/>
    <w:rsid w:val="3C824100"/>
    <w:rsid w:val="3C897B28"/>
    <w:rsid w:val="3D0F4820"/>
    <w:rsid w:val="3D2056B7"/>
    <w:rsid w:val="3D393726"/>
    <w:rsid w:val="3DA46197"/>
    <w:rsid w:val="3DAD4D93"/>
    <w:rsid w:val="3DD70862"/>
    <w:rsid w:val="3DDD0C8A"/>
    <w:rsid w:val="3DED2D3D"/>
    <w:rsid w:val="3DFA74C8"/>
    <w:rsid w:val="3E1F46CA"/>
    <w:rsid w:val="3E21047D"/>
    <w:rsid w:val="3E2A548E"/>
    <w:rsid w:val="3E2A789D"/>
    <w:rsid w:val="3E9B434E"/>
    <w:rsid w:val="3EC139D3"/>
    <w:rsid w:val="3EC81656"/>
    <w:rsid w:val="3ED2273B"/>
    <w:rsid w:val="3ED516E1"/>
    <w:rsid w:val="3EF23B8C"/>
    <w:rsid w:val="3F316FFA"/>
    <w:rsid w:val="3F420216"/>
    <w:rsid w:val="3F4563B2"/>
    <w:rsid w:val="3F4C5993"/>
    <w:rsid w:val="3FEC0F24"/>
    <w:rsid w:val="400E09DC"/>
    <w:rsid w:val="401228F6"/>
    <w:rsid w:val="4044666A"/>
    <w:rsid w:val="404B79F8"/>
    <w:rsid w:val="404E2A10"/>
    <w:rsid w:val="405F2248"/>
    <w:rsid w:val="406805AA"/>
    <w:rsid w:val="407D4B6A"/>
    <w:rsid w:val="40A84E4B"/>
    <w:rsid w:val="40DA0A3B"/>
    <w:rsid w:val="40E045E4"/>
    <w:rsid w:val="40ED6D01"/>
    <w:rsid w:val="40EE65D6"/>
    <w:rsid w:val="40F07788"/>
    <w:rsid w:val="412119C6"/>
    <w:rsid w:val="4138444E"/>
    <w:rsid w:val="417302AC"/>
    <w:rsid w:val="419D0727"/>
    <w:rsid w:val="41F26D9D"/>
    <w:rsid w:val="42191E1B"/>
    <w:rsid w:val="422C3859"/>
    <w:rsid w:val="423544BC"/>
    <w:rsid w:val="428020A0"/>
    <w:rsid w:val="42AB5B89"/>
    <w:rsid w:val="42CA745D"/>
    <w:rsid w:val="42CD5064"/>
    <w:rsid w:val="42E1381E"/>
    <w:rsid w:val="42E32353"/>
    <w:rsid w:val="42E67EAC"/>
    <w:rsid w:val="43120CA1"/>
    <w:rsid w:val="431E13F4"/>
    <w:rsid w:val="433E469E"/>
    <w:rsid w:val="43613359"/>
    <w:rsid w:val="43A53661"/>
    <w:rsid w:val="44004F9E"/>
    <w:rsid w:val="442448B0"/>
    <w:rsid w:val="444624FE"/>
    <w:rsid w:val="44565A77"/>
    <w:rsid w:val="44760F33"/>
    <w:rsid w:val="4476352A"/>
    <w:rsid w:val="4480414E"/>
    <w:rsid w:val="44C138E2"/>
    <w:rsid w:val="44D052EB"/>
    <w:rsid w:val="44D81A76"/>
    <w:rsid w:val="44E41552"/>
    <w:rsid w:val="45066E2D"/>
    <w:rsid w:val="45285E2C"/>
    <w:rsid w:val="45294080"/>
    <w:rsid w:val="4530540F"/>
    <w:rsid w:val="45483420"/>
    <w:rsid w:val="455250D1"/>
    <w:rsid w:val="455F77C0"/>
    <w:rsid w:val="45813EBC"/>
    <w:rsid w:val="45A121C9"/>
    <w:rsid w:val="45B42B24"/>
    <w:rsid w:val="45F26E8B"/>
    <w:rsid w:val="46267511"/>
    <w:rsid w:val="46447735"/>
    <w:rsid w:val="46594D41"/>
    <w:rsid w:val="467D1EAD"/>
    <w:rsid w:val="46CE2808"/>
    <w:rsid w:val="46DD0915"/>
    <w:rsid w:val="471C6949"/>
    <w:rsid w:val="47765479"/>
    <w:rsid w:val="478C4561"/>
    <w:rsid w:val="478D4D9A"/>
    <w:rsid w:val="47906638"/>
    <w:rsid w:val="47E720ED"/>
    <w:rsid w:val="481C08AF"/>
    <w:rsid w:val="481F55D3"/>
    <w:rsid w:val="484073BE"/>
    <w:rsid w:val="4847319B"/>
    <w:rsid w:val="488F52B3"/>
    <w:rsid w:val="48E00EFA"/>
    <w:rsid w:val="4914504B"/>
    <w:rsid w:val="496408FF"/>
    <w:rsid w:val="49927B74"/>
    <w:rsid w:val="499E29A5"/>
    <w:rsid w:val="49BF01B9"/>
    <w:rsid w:val="4A063282"/>
    <w:rsid w:val="4A873D23"/>
    <w:rsid w:val="4A8A3813"/>
    <w:rsid w:val="4A9D52F4"/>
    <w:rsid w:val="4AA77F21"/>
    <w:rsid w:val="4AB32B4A"/>
    <w:rsid w:val="4ACC6DC8"/>
    <w:rsid w:val="4B513D34"/>
    <w:rsid w:val="4B871B00"/>
    <w:rsid w:val="4B920ED8"/>
    <w:rsid w:val="4B9E1324"/>
    <w:rsid w:val="4BAF1783"/>
    <w:rsid w:val="4BD12D6B"/>
    <w:rsid w:val="4BFE7FC1"/>
    <w:rsid w:val="4C12446D"/>
    <w:rsid w:val="4C4D4AF8"/>
    <w:rsid w:val="4C6E40A6"/>
    <w:rsid w:val="4C9D5A7F"/>
    <w:rsid w:val="4CE4214A"/>
    <w:rsid w:val="4D07114B"/>
    <w:rsid w:val="4D1B570E"/>
    <w:rsid w:val="4D417DBC"/>
    <w:rsid w:val="4D431A31"/>
    <w:rsid w:val="4D626E4D"/>
    <w:rsid w:val="4D844549"/>
    <w:rsid w:val="4D8E1CD6"/>
    <w:rsid w:val="4D8F614B"/>
    <w:rsid w:val="4D951FBD"/>
    <w:rsid w:val="4DA459CA"/>
    <w:rsid w:val="4DBC1B25"/>
    <w:rsid w:val="4DD52FF7"/>
    <w:rsid w:val="4DD76D6F"/>
    <w:rsid w:val="4E035DB6"/>
    <w:rsid w:val="4E0C1765"/>
    <w:rsid w:val="4E201F32"/>
    <w:rsid w:val="4E807407"/>
    <w:rsid w:val="4E8F7614"/>
    <w:rsid w:val="4E9B5FEF"/>
    <w:rsid w:val="4E9C42E9"/>
    <w:rsid w:val="4EA96C79"/>
    <w:rsid w:val="4EDD70AD"/>
    <w:rsid w:val="4EFA0F67"/>
    <w:rsid w:val="4F09170E"/>
    <w:rsid w:val="4F3722AB"/>
    <w:rsid w:val="4F381A8F"/>
    <w:rsid w:val="4F7C478E"/>
    <w:rsid w:val="4F8E5C89"/>
    <w:rsid w:val="4F994FA8"/>
    <w:rsid w:val="4FAA4158"/>
    <w:rsid w:val="4FAD422B"/>
    <w:rsid w:val="4FB71A4F"/>
    <w:rsid w:val="500D6A78"/>
    <w:rsid w:val="50281B04"/>
    <w:rsid w:val="50462D59"/>
    <w:rsid w:val="505A24E0"/>
    <w:rsid w:val="506B19F1"/>
    <w:rsid w:val="50812FC2"/>
    <w:rsid w:val="50925279"/>
    <w:rsid w:val="509B0528"/>
    <w:rsid w:val="50AA5105"/>
    <w:rsid w:val="50CA138F"/>
    <w:rsid w:val="50EC2B32"/>
    <w:rsid w:val="50ED66AA"/>
    <w:rsid w:val="50F6575E"/>
    <w:rsid w:val="51247AAC"/>
    <w:rsid w:val="514C537E"/>
    <w:rsid w:val="515003FA"/>
    <w:rsid w:val="51687A61"/>
    <w:rsid w:val="519E4F32"/>
    <w:rsid w:val="51A0432A"/>
    <w:rsid w:val="51AC0513"/>
    <w:rsid w:val="51CF4131"/>
    <w:rsid w:val="51F223CA"/>
    <w:rsid w:val="522D51B0"/>
    <w:rsid w:val="523627F6"/>
    <w:rsid w:val="5246001F"/>
    <w:rsid w:val="524F4DFB"/>
    <w:rsid w:val="527774D3"/>
    <w:rsid w:val="52A96B6F"/>
    <w:rsid w:val="52BA04CC"/>
    <w:rsid w:val="53235B23"/>
    <w:rsid w:val="534A736A"/>
    <w:rsid w:val="537865C5"/>
    <w:rsid w:val="537C2B0A"/>
    <w:rsid w:val="538641F0"/>
    <w:rsid w:val="53967EAD"/>
    <w:rsid w:val="539C0175"/>
    <w:rsid w:val="53E144A4"/>
    <w:rsid w:val="543D36A4"/>
    <w:rsid w:val="544762D1"/>
    <w:rsid w:val="546B6463"/>
    <w:rsid w:val="54992FD0"/>
    <w:rsid w:val="54996B2C"/>
    <w:rsid w:val="549F1015"/>
    <w:rsid w:val="54D22327"/>
    <w:rsid w:val="550764A4"/>
    <w:rsid w:val="551116AB"/>
    <w:rsid w:val="55366A71"/>
    <w:rsid w:val="55441109"/>
    <w:rsid w:val="55472A2C"/>
    <w:rsid w:val="554F446C"/>
    <w:rsid w:val="55AF2380"/>
    <w:rsid w:val="55B61960"/>
    <w:rsid w:val="55F70887"/>
    <w:rsid w:val="56101070"/>
    <w:rsid w:val="562C1C22"/>
    <w:rsid w:val="564E1B99"/>
    <w:rsid w:val="56B04A7B"/>
    <w:rsid w:val="56C05DE0"/>
    <w:rsid w:val="56D13882"/>
    <w:rsid w:val="56F004E8"/>
    <w:rsid w:val="57275755"/>
    <w:rsid w:val="572B15A7"/>
    <w:rsid w:val="57642B60"/>
    <w:rsid w:val="57B3707C"/>
    <w:rsid w:val="57C61AE4"/>
    <w:rsid w:val="57D305A7"/>
    <w:rsid w:val="57E52067"/>
    <w:rsid w:val="58020D56"/>
    <w:rsid w:val="582C7CB7"/>
    <w:rsid w:val="58467114"/>
    <w:rsid w:val="5856440F"/>
    <w:rsid w:val="585C6970"/>
    <w:rsid w:val="58711B6E"/>
    <w:rsid w:val="58721B1C"/>
    <w:rsid w:val="5876588A"/>
    <w:rsid w:val="5886561A"/>
    <w:rsid w:val="588A59E8"/>
    <w:rsid w:val="58AE4F0C"/>
    <w:rsid w:val="58D77C23"/>
    <w:rsid w:val="58DD0FB2"/>
    <w:rsid w:val="58DF11CE"/>
    <w:rsid w:val="58F200BF"/>
    <w:rsid w:val="58F46A27"/>
    <w:rsid w:val="59072C51"/>
    <w:rsid w:val="591B0474"/>
    <w:rsid w:val="592F5177"/>
    <w:rsid w:val="593A700F"/>
    <w:rsid w:val="595B394C"/>
    <w:rsid w:val="59627B25"/>
    <w:rsid w:val="59943D66"/>
    <w:rsid w:val="59E44CEE"/>
    <w:rsid w:val="5A2A7C7B"/>
    <w:rsid w:val="5A537537"/>
    <w:rsid w:val="5ABC0B62"/>
    <w:rsid w:val="5ACE32A8"/>
    <w:rsid w:val="5AE44D9F"/>
    <w:rsid w:val="5AED35E8"/>
    <w:rsid w:val="5AF0644D"/>
    <w:rsid w:val="5B0B62AA"/>
    <w:rsid w:val="5B0C45BD"/>
    <w:rsid w:val="5B0D2022"/>
    <w:rsid w:val="5B0F1027"/>
    <w:rsid w:val="5B2F1F99"/>
    <w:rsid w:val="5BA40E76"/>
    <w:rsid w:val="5BBB2421"/>
    <w:rsid w:val="5BDF73AA"/>
    <w:rsid w:val="5BF31218"/>
    <w:rsid w:val="5C2A6758"/>
    <w:rsid w:val="5C3343BC"/>
    <w:rsid w:val="5C80234E"/>
    <w:rsid w:val="5C8641D7"/>
    <w:rsid w:val="5CE21672"/>
    <w:rsid w:val="5D2E4D5C"/>
    <w:rsid w:val="5DFC1EDA"/>
    <w:rsid w:val="5E084A2C"/>
    <w:rsid w:val="5E084D23"/>
    <w:rsid w:val="5E0D40E7"/>
    <w:rsid w:val="5E1A5E3F"/>
    <w:rsid w:val="5E261785"/>
    <w:rsid w:val="5E6A0EA5"/>
    <w:rsid w:val="5E826883"/>
    <w:rsid w:val="5E8D459C"/>
    <w:rsid w:val="5EB50A07"/>
    <w:rsid w:val="5EE17A4E"/>
    <w:rsid w:val="5F10510E"/>
    <w:rsid w:val="5F2B3C49"/>
    <w:rsid w:val="5F9A19AB"/>
    <w:rsid w:val="5F9D3708"/>
    <w:rsid w:val="5FB95BC6"/>
    <w:rsid w:val="5FCC5339"/>
    <w:rsid w:val="5FF53CE9"/>
    <w:rsid w:val="5FF63C52"/>
    <w:rsid w:val="6021037A"/>
    <w:rsid w:val="60382E98"/>
    <w:rsid w:val="60445EB3"/>
    <w:rsid w:val="604C6C11"/>
    <w:rsid w:val="606A3A96"/>
    <w:rsid w:val="60830691"/>
    <w:rsid w:val="60855343"/>
    <w:rsid w:val="60930502"/>
    <w:rsid w:val="60A637AC"/>
    <w:rsid w:val="60AB2BF8"/>
    <w:rsid w:val="60C93611"/>
    <w:rsid w:val="60DC5815"/>
    <w:rsid w:val="60E631BD"/>
    <w:rsid w:val="61054A27"/>
    <w:rsid w:val="610572F8"/>
    <w:rsid w:val="610B7004"/>
    <w:rsid w:val="6114761D"/>
    <w:rsid w:val="611D2366"/>
    <w:rsid w:val="614068C9"/>
    <w:rsid w:val="61E46B14"/>
    <w:rsid w:val="61E83289"/>
    <w:rsid w:val="61EF5138"/>
    <w:rsid w:val="620023C7"/>
    <w:rsid w:val="62150F26"/>
    <w:rsid w:val="62157A0E"/>
    <w:rsid w:val="622513DD"/>
    <w:rsid w:val="624C13E9"/>
    <w:rsid w:val="62885958"/>
    <w:rsid w:val="62AC5837"/>
    <w:rsid w:val="62C751AC"/>
    <w:rsid w:val="62E33669"/>
    <w:rsid w:val="62E85864"/>
    <w:rsid w:val="630B0B6F"/>
    <w:rsid w:val="630D7AA2"/>
    <w:rsid w:val="6324615B"/>
    <w:rsid w:val="633839B4"/>
    <w:rsid w:val="637507CD"/>
    <w:rsid w:val="63975118"/>
    <w:rsid w:val="63E82FD8"/>
    <w:rsid w:val="64191A38"/>
    <w:rsid w:val="643E41AF"/>
    <w:rsid w:val="64703142"/>
    <w:rsid w:val="647A6070"/>
    <w:rsid w:val="647C1FC7"/>
    <w:rsid w:val="64877387"/>
    <w:rsid w:val="648A4251"/>
    <w:rsid w:val="648C220A"/>
    <w:rsid w:val="64AD52E7"/>
    <w:rsid w:val="64CE2EAA"/>
    <w:rsid w:val="64DE60CD"/>
    <w:rsid w:val="651B4002"/>
    <w:rsid w:val="651E72A0"/>
    <w:rsid w:val="652B3FD1"/>
    <w:rsid w:val="653B59DE"/>
    <w:rsid w:val="657607C4"/>
    <w:rsid w:val="658721E6"/>
    <w:rsid w:val="65B93350"/>
    <w:rsid w:val="65BD0BFE"/>
    <w:rsid w:val="65E10333"/>
    <w:rsid w:val="65EB7404"/>
    <w:rsid w:val="65F5200F"/>
    <w:rsid w:val="66187A52"/>
    <w:rsid w:val="662E75B1"/>
    <w:rsid w:val="66342C2E"/>
    <w:rsid w:val="663E784C"/>
    <w:rsid w:val="6655487D"/>
    <w:rsid w:val="66950E7F"/>
    <w:rsid w:val="669C2647"/>
    <w:rsid w:val="66C072F5"/>
    <w:rsid w:val="66D07594"/>
    <w:rsid w:val="670047E9"/>
    <w:rsid w:val="671745FC"/>
    <w:rsid w:val="675C1782"/>
    <w:rsid w:val="677F7E04"/>
    <w:rsid w:val="67D93618"/>
    <w:rsid w:val="68261CC4"/>
    <w:rsid w:val="68343CC5"/>
    <w:rsid w:val="68394457"/>
    <w:rsid w:val="68401C64"/>
    <w:rsid w:val="684849C6"/>
    <w:rsid w:val="68705312"/>
    <w:rsid w:val="68914293"/>
    <w:rsid w:val="68DE0B5A"/>
    <w:rsid w:val="690C27AB"/>
    <w:rsid w:val="690D7691"/>
    <w:rsid w:val="693410C2"/>
    <w:rsid w:val="6942558D"/>
    <w:rsid w:val="696B74C4"/>
    <w:rsid w:val="69777DE2"/>
    <w:rsid w:val="697A1104"/>
    <w:rsid w:val="698B348F"/>
    <w:rsid w:val="69A86236"/>
    <w:rsid w:val="69AA3132"/>
    <w:rsid w:val="69F00E5C"/>
    <w:rsid w:val="6A1C750D"/>
    <w:rsid w:val="6A4E7F61"/>
    <w:rsid w:val="6A617E02"/>
    <w:rsid w:val="6A620582"/>
    <w:rsid w:val="6A6837D1"/>
    <w:rsid w:val="6A6D488B"/>
    <w:rsid w:val="6A8E0FFC"/>
    <w:rsid w:val="6AA16C75"/>
    <w:rsid w:val="6ABB1498"/>
    <w:rsid w:val="6AF97ECD"/>
    <w:rsid w:val="6B0A41B2"/>
    <w:rsid w:val="6B52226C"/>
    <w:rsid w:val="6B5C6424"/>
    <w:rsid w:val="6B735ED1"/>
    <w:rsid w:val="6BA047ED"/>
    <w:rsid w:val="6BBE4C73"/>
    <w:rsid w:val="6BD36970"/>
    <w:rsid w:val="6BF80185"/>
    <w:rsid w:val="6C38732C"/>
    <w:rsid w:val="6C627CF4"/>
    <w:rsid w:val="6C680C88"/>
    <w:rsid w:val="6C81092E"/>
    <w:rsid w:val="6CF30F04"/>
    <w:rsid w:val="6D082DFE"/>
    <w:rsid w:val="6D092836"/>
    <w:rsid w:val="6D0D0199"/>
    <w:rsid w:val="6D6F570C"/>
    <w:rsid w:val="6D8912EF"/>
    <w:rsid w:val="6D8E1BA4"/>
    <w:rsid w:val="6D967C55"/>
    <w:rsid w:val="6DA2229E"/>
    <w:rsid w:val="6DA92861"/>
    <w:rsid w:val="6E1623E6"/>
    <w:rsid w:val="6E2234D2"/>
    <w:rsid w:val="6E761835"/>
    <w:rsid w:val="6E8E12EF"/>
    <w:rsid w:val="6EA35B4C"/>
    <w:rsid w:val="6EE75C87"/>
    <w:rsid w:val="6F484F7F"/>
    <w:rsid w:val="6F5F4624"/>
    <w:rsid w:val="6F8213F7"/>
    <w:rsid w:val="703E2723"/>
    <w:rsid w:val="705C33D8"/>
    <w:rsid w:val="70643A4D"/>
    <w:rsid w:val="707E0657"/>
    <w:rsid w:val="70825D3E"/>
    <w:rsid w:val="70872FC9"/>
    <w:rsid w:val="70B22AC5"/>
    <w:rsid w:val="70C501EC"/>
    <w:rsid w:val="70CF48B2"/>
    <w:rsid w:val="70E37E01"/>
    <w:rsid w:val="710650F2"/>
    <w:rsid w:val="711F61B4"/>
    <w:rsid w:val="713D0510"/>
    <w:rsid w:val="714C300F"/>
    <w:rsid w:val="71650B6A"/>
    <w:rsid w:val="71900E5F"/>
    <w:rsid w:val="71D43752"/>
    <w:rsid w:val="71DD4E54"/>
    <w:rsid w:val="72040C7E"/>
    <w:rsid w:val="72365CA8"/>
    <w:rsid w:val="724E4132"/>
    <w:rsid w:val="72563E57"/>
    <w:rsid w:val="72587BCF"/>
    <w:rsid w:val="725F6247"/>
    <w:rsid w:val="728069B8"/>
    <w:rsid w:val="7295497F"/>
    <w:rsid w:val="72CA73FB"/>
    <w:rsid w:val="72D27FF4"/>
    <w:rsid w:val="72D50740"/>
    <w:rsid w:val="731379DD"/>
    <w:rsid w:val="732F4149"/>
    <w:rsid w:val="732F6F6B"/>
    <w:rsid w:val="734827F2"/>
    <w:rsid w:val="73840107"/>
    <w:rsid w:val="73972979"/>
    <w:rsid w:val="73A429A0"/>
    <w:rsid w:val="73E8523E"/>
    <w:rsid w:val="73F6630A"/>
    <w:rsid w:val="741E09A4"/>
    <w:rsid w:val="74346BFF"/>
    <w:rsid w:val="744013DB"/>
    <w:rsid w:val="74512B28"/>
    <w:rsid w:val="74754184"/>
    <w:rsid w:val="74916155"/>
    <w:rsid w:val="7493567E"/>
    <w:rsid w:val="74936C9D"/>
    <w:rsid w:val="74944EBB"/>
    <w:rsid w:val="74961D9B"/>
    <w:rsid w:val="749C4185"/>
    <w:rsid w:val="74D62D6B"/>
    <w:rsid w:val="74D86AE9"/>
    <w:rsid w:val="74DA71DC"/>
    <w:rsid w:val="74DE553E"/>
    <w:rsid w:val="751B4EE4"/>
    <w:rsid w:val="75310219"/>
    <w:rsid w:val="75385A96"/>
    <w:rsid w:val="75BC659D"/>
    <w:rsid w:val="75C537CD"/>
    <w:rsid w:val="75D76B65"/>
    <w:rsid w:val="75DA2C18"/>
    <w:rsid w:val="75DC563D"/>
    <w:rsid w:val="76366A04"/>
    <w:rsid w:val="76443E88"/>
    <w:rsid w:val="76865C05"/>
    <w:rsid w:val="76A65B00"/>
    <w:rsid w:val="76C06100"/>
    <w:rsid w:val="76FA4F64"/>
    <w:rsid w:val="771440AA"/>
    <w:rsid w:val="771F2A69"/>
    <w:rsid w:val="7725204A"/>
    <w:rsid w:val="772E1E2C"/>
    <w:rsid w:val="77664B3C"/>
    <w:rsid w:val="77730402"/>
    <w:rsid w:val="77877F55"/>
    <w:rsid w:val="77954B48"/>
    <w:rsid w:val="77B47F8F"/>
    <w:rsid w:val="77B6499D"/>
    <w:rsid w:val="77E87FD9"/>
    <w:rsid w:val="77FC051C"/>
    <w:rsid w:val="788F1E71"/>
    <w:rsid w:val="78AB59D0"/>
    <w:rsid w:val="79374646"/>
    <w:rsid w:val="793A0C77"/>
    <w:rsid w:val="79641288"/>
    <w:rsid w:val="7967694A"/>
    <w:rsid w:val="79894B12"/>
    <w:rsid w:val="799104E8"/>
    <w:rsid w:val="79A77C1E"/>
    <w:rsid w:val="79B25E17"/>
    <w:rsid w:val="79C80F68"/>
    <w:rsid w:val="79D1653A"/>
    <w:rsid w:val="79D51B05"/>
    <w:rsid w:val="79FB4DB8"/>
    <w:rsid w:val="7A0A0CCF"/>
    <w:rsid w:val="7A1305A7"/>
    <w:rsid w:val="7A160F14"/>
    <w:rsid w:val="7A4334F8"/>
    <w:rsid w:val="7A67303B"/>
    <w:rsid w:val="7A697CCD"/>
    <w:rsid w:val="7A926E0C"/>
    <w:rsid w:val="7AAB0470"/>
    <w:rsid w:val="7AAB1D04"/>
    <w:rsid w:val="7ABA4368"/>
    <w:rsid w:val="7B257FFD"/>
    <w:rsid w:val="7B4909FD"/>
    <w:rsid w:val="7B875081"/>
    <w:rsid w:val="7B8A5149"/>
    <w:rsid w:val="7B8A6F71"/>
    <w:rsid w:val="7B8B25F6"/>
    <w:rsid w:val="7BAB5214"/>
    <w:rsid w:val="7BF85F7F"/>
    <w:rsid w:val="7C120DEF"/>
    <w:rsid w:val="7C1C3A1B"/>
    <w:rsid w:val="7C636FEF"/>
    <w:rsid w:val="7C6D6D67"/>
    <w:rsid w:val="7C91271D"/>
    <w:rsid w:val="7CA560CB"/>
    <w:rsid w:val="7CF1353C"/>
    <w:rsid w:val="7D1E0263"/>
    <w:rsid w:val="7D262449"/>
    <w:rsid w:val="7D3F34EE"/>
    <w:rsid w:val="7D494CE4"/>
    <w:rsid w:val="7D553689"/>
    <w:rsid w:val="7D60202E"/>
    <w:rsid w:val="7D6E6A4F"/>
    <w:rsid w:val="7D856CA2"/>
    <w:rsid w:val="7D9D5AA3"/>
    <w:rsid w:val="7DB87774"/>
    <w:rsid w:val="7DDA0503"/>
    <w:rsid w:val="7DDF5BD5"/>
    <w:rsid w:val="7DFA4B0F"/>
    <w:rsid w:val="7E087B80"/>
    <w:rsid w:val="7E2968C4"/>
    <w:rsid w:val="7E4A5F1A"/>
    <w:rsid w:val="7E5E656D"/>
    <w:rsid w:val="7E7C7B76"/>
    <w:rsid w:val="7ECA3C03"/>
    <w:rsid w:val="7EE27547"/>
    <w:rsid w:val="7EF16460"/>
    <w:rsid w:val="7EF55D5F"/>
    <w:rsid w:val="7EF72849"/>
    <w:rsid w:val="7F1109AC"/>
    <w:rsid w:val="7F2B6433"/>
    <w:rsid w:val="7F3845D5"/>
    <w:rsid w:val="7F397695"/>
    <w:rsid w:val="7F3D0E3E"/>
    <w:rsid w:val="7F447D8C"/>
    <w:rsid w:val="7F4A0830"/>
    <w:rsid w:val="7F5636E8"/>
    <w:rsid w:val="7F58120E"/>
    <w:rsid w:val="7F65392B"/>
    <w:rsid w:val="7F686F78"/>
    <w:rsid w:val="7F8A5140"/>
    <w:rsid w:val="7F8E155C"/>
    <w:rsid w:val="7FA63579"/>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3"/>
    <w:qFormat/>
    <w:uiPriority w:val="0"/>
    <w:pPr>
      <w:adjustRightInd/>
      <w:spacing w:line="360" w:lineRule="auto"/>
      <w:jc w:val="center"/>
      <w:outlineLvl w:val="0"/>
    </w:pPr>
    <w:rPr>
      <w:rFonts w:ascii="仿宋" w:hAnsi="仿宋" w:eastAsia="仿宋" w:cs="仿宋_GB2312"/>
      <w:b/>
      <w:color w:val="000000"/>
      <w:sz w:val="36"/>
      <w:szCs w:val="36"/>
    </w:rPr>
  </w:style>
  <w:style w:type="paragraph" w:styleId="5">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numPr>
        <w:ilvl w:val="2"/>
        <w:numId w:val="2"/>
      </w:numPr>
      <w:spacing w:before="260" w:after="260" w:line="416" w:lineRule="auto"/>
      <w:outlineLvl w:val="2"/>
    </w:pPr>
    <w:rPr>
      <w:b/>
      <w:bCs/>
      <w:sz w:val="32"/>
      <w:szCs w:val="32"/>
    </w:rPr>
  </w:style>
  <w:style w:type="paragraph" w:styleId="7">
    <w:name w:val="heading 4"/>
    <w:basedOn w:val="1"/>
    <w:next w:val="1"/>
    <w:link w:val="214"/>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8">
    <w:name w:val="heading 5"/>
    <w:basedOn w:val="1"/>
    <w:next w:val="1"/>
    <w:link w:val="177"/>
    <w:qFormat/>
    <w:uiPriority w:val="0"/>
    <w:pPr>
      <w:keepNext/>
      <w:keepLines/>
      <w:numPr>
        <w:ilvl w:val="4"/>
        <w:numId w:val="2"/>
      </w:numPr>
      <w:spacing w:before="280" w:after="290" w:line="376" w:lineRule="auto"/>
      <w:outlineLvl w:val="4"/>
    </w:pPr>
    <w:rPr>
      <w:b/>
      <w:bCs/>
      <w:sz w:val="28"/>
      <w:szCs w:val="28"/>
    </w:rPr>
  </w:style>
  <w:style w:type="paragraph" w:styleId="9">
    <w:name w:val="heading 6"/>
    <w:basedOn w:val="1"/>
    <w:next w:val="1"/>
    <w:link w:val="242"/>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10">
    <w:name w:val="heading 7"/>
    <w:basedOn w:val="1"/>
    <w:next w:val="1"/>
    <w:link w:val="208"/>
    <w:qFormat/>
    <w:uiPriority w:val="0"/>
    <w:pPr>
      <w:keepNext/>
      <w:keepLines/>
      <w:numPr>
        <w:ilvl w:val="6"/>
        <w:numId w:val="2"/>
      </w:numPr>
      <w:spacing w:before="240" w:after="64" w:line="320" w:lineRule="auto"/>
      <w:outlineLvl w:val="6"/>
    </w:pPr>
    <w:rPr>
      <w:b/>
      <w:bCs/>
      <w:sz w:val="24"/>
    </w:rPr>
  </w:style>
  <w:style w:type="paragraph" w:styleId="11">
    <w:name w:val="heading 8"/>
    <w:basedOn w:val="1"/>
    <w:next w:val="1"/>
    <w:link w:val="113"/>
    <w:qFormat/>
    <w:uiPriority w:val="0"/>
    <w:pPr>
      <w:keepNext/>
      <w:keepLines/>
      <w:numPr>
        <w:ilvl w:val="7"/>
        <w:numId w:val="2"/>
      </w:numPr>
      <w:spacing w:before="240" w:after="64" w:line="320" w:lineRule="auto"/>
      <w:outlineLvl w:val="7"/>
    </w:pPr>
    <w:rPr>
      <w:rFonts w:ascii="Arial" w:hAnsi="Arial" w:eastAsia="黑体"/>
      <w:sz w:val="24"/>
    </w:rPr>
  </w:style>
  <w:style w:type="paragraph" w:styleId="12">
    <w:name w:val="heading 9"/>
    <w:basedOn w:val="1"/>
    <w:next w:val="1"/>
    <w:link w:val="126"/>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3"/>
    <w:qFormat/>
    <w:uiPriority w:val="0"/>
    <w:pPr>
      <w:autoSpaceDE w:val="0"/>
      <w:autoSpaceDN w:val="0"/>
      <w:spacing w:line="360" w:lineRule="auto"/>
    </w:pPr>
    <w:rPr>
      <w:rFonts w:ascii="宋体"/>
      <w:sz w:val="24"/>
      <w:szCs w:val="21"/>
      <w:lang w:val="zh-CN"/>
    </w:rPr>
  </w:style>
  <w:style w:type="paragraph" w:customStyle="1" w:styleId="3">
    <w:name w:val="_Style 2"/>
    <w:basedOn w:val="1"/>
    <w:qFormat/>
    <w:uiPriority w:val="0"/>
    <w:pPr>
      <w:ind w:firstLine="200" w:firstLineChars="200"/>
    </w:pPr>
    <w:rPr>
      <w:rFonts w:ascii="Calibri" w:hAnsi="Calibri"/>
      <w:sz w:val="28"/>
      <w:szCs w:val="22"/>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next w:val="1"/>
    <w:link w:val="244"/>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semiHidden/>
    <w:qFormat/>
    <w:uiPriority w:val="0"/>
    <w:pPr>
      <w:shd w:val="clear" w:color="auto" w:fill="000080"/>
    </w:pPr>
  </w:style>
  <w:style w:type="paragraph" w:styleId="21">
    <w:name w:val="annotation text"/>
    <w:basedOn w:val="1"/>
    <w:link w:val="248"/>
    <w:qFormat/>
    <w:uiPriority w:val="99"/>
    <w:pPr>
      <w:jc w:val="left"/>
    </w:pPr>
  </w:style>
  <w:style w:type="paragraph" w:styleId="22">
    <w:name w:val="Salutation"/>
    <w:basedOn w:val="1"/>
    <w:next w:val="1"/>
    <w:link w:val="213"/>
    <w:qFormat/>
    <w:uiPriority w:val="0"/>
    <w:rPr>
      <w:rFonts w:ascii="仿宋_GB2312" w:eastAsia="仿宋_GB2312"/>
      <w:sz w:val="28"/>
      <w:szCs w:val="20"/>
    </w:rPr>
  </w:style>
  <w:style w:type="paragraph" w:styleId="23">
    <w:name w:val="Body Text 3"/>
    <w:basedOn w:val="1"/>
    <w:link w:val="186"/>
    <w:qFormat/>
    <w:uiPriority w:val="0"/>
    <w:pPr>
      <w:jc w:val="center"/>
    </w:pPr>
    <w:rPr>
      <w:szCs w:val="20"/>
    </w:rPr>
  </w:style>
  <w:style w:type="paragraph" w:styleId="24">
    <w:name w:val="Body Text Indent"/>
    <w:basedOn w:val="1"/>
    <w:next w:val="1"/>
    <w:link w:val="104"/>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175"/>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33"/>
    <w:link w:val="224"/>
    <w:qFormat/>
    <w:uiPriority w:val="0"/>
    <w:rPr>
      <w:rFonts w:ascii="宋体" w:hAnsi="Courier New"/>
      <w:szCs w:val="20"/>
    </w:rPr>
  </w:style>
  <w:style w:type="paragraph" w:styleId="33">
    <w:name w:val="Date"/>
    <w:basedOn w:val="1"/>
    <w:next w:val="1"/>
    <w:link w:val="211"/>
    <w:qFormat/>
    <w:uiPriority w:val="0"/>
    <w:pPr>
      <w:ind w:left="100" w:leftChars="2500"/>
    </w:pPr>
    <w:rPr>
      <w:rFonts w:ascii="宋体"/>
      <w:sz w:val="24"/>
      <w:szCs w:val="21"/>
      <w:lang w:val="zh-CN"/>
    </w:rPr>
  </w:style>
  <w:style w:type="paragraph" w:styleId="34">
    <w:name w:val="List Number 4"/>
    <w:basedOn w:val="1"/>
    <w:qFormat/>
    <w:uiPriority w:val="0"/>
    <w:pPr>
      <w:numPr>
        <w:ilvl w:val="0"/>
        <w:numId w:val="4"/>
      </w:numPr>
      <w:autoSpaceDE w:val="0"/>
      <w:autoSpaceDN w:val="0"/>
      <w:spacing w:line="360" w:lineRule="atLeast"/>
    </w:pPr>
    <w:rPr>
      <w:kern w:val="0"/>
      <w:sz w:val="24"/>
    </w:rPr>
  </w:style>
  <w:style w:type="paragraph" w:styleId="35">
    <w:name w:val="toc 8"/>
    <w:basedOn w:val="1"/>
    <w:next w:val="1"/>
    <w:qFormat/>
    <w:uiPriority w:val="0"/>
    <w:pPr>
      <w:ind w:left="2940" w:leftChars="1400"/>
    </w:pPr>
  </w:style>
  <w:style w:type="paragraph" w:styleId="36">
    <w:name w:val="Body Text Indent 2"/>
    <w:basedOn w:val="1"/>
    <w:link w:val="84"/>
    <w:qFormat/>
    <w:uiPriority w:val="0"/>
    <w:pPr>
      <w:spacing w:line="360" w:lineRule="auto"/>
      <w:ind w:firstLine="601"/>
      <w:textAlignment w:val="baseline"/>
    </w:pPr>
    <w:rPr>
      <w:rFonts w:ascii="宋体"/>
      <w:kern w:val="0"/>
      <w:sz w:val="28"/>
      <w:szCs w:val="20"/>
    </w:rPr>
  </w:style>
  <w:style w:type="paragraph" w:styleId="37">
    <w:name w:val="Balloon Text"/>
    <w:basedOn w:val="1"/>
    <w:link w:val="249"/>
    <w:semiHidden/>
    <w:qFormat/>
    <w:uiPriority w:val="0"/>
    <w:rPr>
      <w:sz w:val="18"/>
      <w:szCs w:val="18"/>
    </w:rPr>
  </w:style>
  <w:style w:type="paragraph" w:styleId="38">
    <w:name w:val="footer"/>
    <w:basedOn w:val="1"/>
    <w:link w:val="630"/>
    <w:qFormat/>
    <w:uiPriority w:val="99"/>
    <w:pPr>
      <w:tabs>
        <w:tab w:val="center" w:pos="4153"/>
        <w:tab w:val="right" w:pos="8306"/>
      </w:tabs>
      <w:snapToGrid w:val="0"/>
      <w:jc w:val="left"/>
    </w:pPr>
    <w:rPr>
      <w:sz w:val="18"/>
      <w:szCs w:val="18"/>
    </w:rPr>
  </w:style>
  <w:style w:type="paragraph" w:styleId="39">
    <w:name w:val="header"/>
    <w:basedOn w:val="1"/>
    <w:link w:val="631"/>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258"/>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10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7"/>
    <w:link w:val="238"/>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195"/>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21"/>
    <w:next w:val="21"/>
    <w:semiHidden/>
    <w:qFormat/>
    <w:uiPriority w:val="0"/>
    <w:rPr>
      <w:b/>
      <w:bCs/>
    </w:rPr>
  </w:style>
  <w:style w:type="paragraph" w:styleId="59">
    <w:name w:val="Body Text First Indent"/>
    <w:basedOn w:val="2"/>
    <w:link w:val="136"/>
    <w:qFormat/>
    <w:uiPriority w:val="0"/>
    <w:pPr>
      <w:ind w:firstLine="420"/>
    </w:pPr>
    <w:rPr>
      <w:szCs w:val="20"/>
    </w:rPr>
  </w:style>
  <w:style w:type="paragraph" w:styleId="60">
    <w:name w:val="Body Text First Indent 2"/>
    <w:basedOn w:val="24"/>
    <w:link w:val="246"/>
    <w:qFormat/>
    <w:uiPriority w:val="0"/>
    <w:pPr>
      <w:adjustRightInd/>
      <w:spacing w:after="120" w:line="240" w:lineRule="auto"/>
      <w:ind w:left="420" w:leftChars="200" w:firstLine="210"/>
    </w:pPr>
    <w:rPr>
      <w:sz w:val="21"/>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qFormat/>
    <w:uiPriority w:val="22"/>
    <w:rPr>
      <w:b/>
      <w:bCs/>
    </w:rPr>
  </w:style>
  <w:style w:type="character" w:styleId="65">
    <w:name w:val="page number"/>
    <w:basedOn w:val="63"/>
    <w:qFormat/>
    <w:uiPriority w:val="0"/>
    <w:rPr>
      <w:rFonts w:ascii="Arial" w:hAnsi="Arial" w:eastAsia="黑体" w:cs="Arial"/>
      <w:snapToGrid w:val="0"/>
      <w:kern w:val="0"/>
      <w:szCs w:val="21"/>
    </w:rPr>
  </w:style>
  <w:style w:type="character" w:styleId="66">
    <w:name w:val="FollowedHyperlink"/>
    <w:qFormat/>
    <w:uiPriority w:val="0"/>
    <w:rPr>
      <w:rFonts w:ascii="Arial" w:hAnsi="Arial" w:eastAsia="黑体" w:cs="Arial"/>
      <w:snapToGrid w:val="0"/>
      <w:color w:val="000000"/>
      <w:kern w:val="0"/>
      <w:sz w:val="18"/>
      <w:szCs w:val="18"/>
      <w:u w:val="none"/>
    </w:rPr>
  </w:style>
  <w:style w:type="character" w:styleId="67">
    <w:name w:val="Emphasis"/>
    <w:qFormat/>
    <w:uiPriority w:val="0"/>
    <w:rPr>
      <w:color w:val="CC0033"/>
    </w:rPr>
  </w:style>
  <w:style w:type="character" w:styleId="68">
    <w:name w:val="line number"/>
    <w:basedOn w:val="63"/>
    <w:qFormat/>
    <w:uiPriority w:val="0"/>
    <w:rPr>
      <w:rFonts w:ascii="Arial" w:hAnsi="Arial" w:eastAsia="黑体" w:cs="Arial"/>
      <w:snapToGrid w:val="0"/>
      <w:kern w:val="0"/>
      <w:szCs w:val="21"/>
    </w:rPr>
  </w:style>
  <w:style w:type="character" w:styleId="69">
    <w:name w:val="Hyperlink"/>
    <w:qFormat/>
    <w:uiPriority w:val="99"/>
    <w:rPr>
      <w:rFonts w:ascii="Arial" w:hAnsi="Arial" w:eastAsia="黑体" w:cs="Arial"/>
      <w:snapToGrid w:val="0"/>
      <w:color w:val="000000"/>
      <w:kern w:val="0"/>
      <w:sz w:val="18"/>
      <w:szCs w:val="18"/>
      <w:u w:val="none"/>
    </w:rPr>
  </w:style>
  <w:style w:type="character" w:styleId="70">
    <w:name w:val="HTML Code"/>
    <w:qFormat/>
    <w:uiPriority w:val="0"/>
    <w:rPr>
      <w:rFonts w:ascii="黑体" w:hAnsi="Courier New" w:eastAsia="黑体" w:cs="楷体_GB2312"/>
      <w:sz w:val="20"/>
      <w:szCs w:val="20"/>
    </w:rPr>
  </w:style>
  <w:style w:type="character" w:styleId="71">
    <w:name w:val="annotation reference"/>
    <w:qFormat/>
    <w:uiPriority w:val="99"/>
    <w:rPr>
      <w:sz w:val="21"/>
      <w:szCs w:val="21"/>
    </w:rPr>
  </w:style>
  <w:style w:type="paragraph" w:styleId="72">
    <w:name w:val="List Paragraph"/>
    <w:basedOn w:val="1"/>
    <w:qFormat/>
    <w:uiPriority w:val="34"/>
    <w:pPr>
      <w:spacing w:line="360" w:lineRule="auto"/>
      <w:ind w:firstLine="200" w:firstLineChars="200"/>
    </w:pPr>
    <w:rPr>
      <w:rFonts w:eastAsia="楷体_GB2312" w:cs="Lucida Sans"/>
      <w:sz w:val="24"/>
    </w:rPr>
  </w:style>
  <w:style w:type="character" w:customStyle="1" w:styleId="73">
    <w:name w:val="标题 1 Char"/>
    <w:link w:val="4"/>
    <w:qFormat/>
    <w:uiPriority w:val="0"/>
    <w:rPr>
      <w:rFonts w:ascii="仿宋" w:hAnsi="仿宋" w:eastAsia="仿宋" w:cs="仿宋_GB2312"/>
      <w:b/>
      <w:color w:val="000000"/>
      <w:kern w:val="2"/>
      <w:sz w:val="36"/>
      <w:szCs w:val="36"/>
    </w:rPr>
  </w:style>
  <w:style w:type="character" w:customStyle="1" w:styleId="74">
    <w:name w:val="标题 2 Char"/>
    <w:qFormat/>
    <w:uiPriority w:val="0"/>
    <w:rPr>
      <w:rFonts w:ascii="Arial" w:hAnsi="Arial" w:eastAsia="黑体"/>
      <w:b/>
      <w:kern w:val="2"/>
      <w:sz w:val="32"/>
      <w:lang w:val="en-US" w:eastAsia="zh-CN"/>
    </w:rPr>
  </w:style>
  <w:style w:type="character" w:customStyle="1" w:styleId="75">
    <w:name w:val="solutionfonts"/>
    <w:qFormat/>
    <w:uiPriority w:val="0"/>
  </w:style>
  <w:style w:type="character" w:customStyle="1" w:styleId="76">
    <w:name w:val="Font Style82"/>
    <w:qFormat/>
    <w:uiPriority w:val="99"/>
    <w:rPr>
      <w:rFonts w:ascii="宋体" w:eastAsia="宋体" w:cs="宋体"/>
      <w:color w:val="000000"/>
      <w:sz w:val="14"/>
      <w:szCs w:val="14"/>
    </w:rPr>
  </w:style>
  <w:style w:type="character" w:customStyle="1" w:styleId="77">
    <w:name w:val="此正文 Char"/>
    <w:link w:val="78"/>
    <w:qFormat/>
    <w:uiPriority w:val="0"/>
    <w:rPr>
      <w:kern w:val="2"/>
      <w:sz w:val="24"/>
      <w:szCs w:val="24"/>
    </w:rPr>
  </w:style>
  <w:style w:type="paragraph" w:customStyle="1" w:styleId="78">
    <w:name w:val="此正文"/>
    <w:basedOn w:val="1"/>
    <w:link w:val="77"/>
    <w:qFormat/>
    <w:uiPriority w:val="0"/>
    <w:pPr>
      <w:adjustRightInd/>
      <w:spacing w:line="360" w:lineRule="auto"/>
      <w:ind w:firstLine="200" w:firstLineChars="200"/>
    </w:pPr>
    <w:rPr>
      <w:sz w:val="24"/>
    </w:rPr>
  </w:style>
  <w:style w:type="character" w:customStyle="1" w:styleId="79">
    <w:name w:val="Char Char10"/>
    <w:semiHidden/>
    <w:qFormat/>
    <w:uiPriority w:val="0"/>
    <w:rPr>
      <w:rFonts w:ascii="宋体" w:hAnsi="宋体"/>
      <w:kern w:val="2"/>
      <w:sz w:val="21"/>
      <w:szCs w:val="24"/>
      <w:lang w:val="en-US" w:eastAsia="zh-CN"/>
    </w:rPr>
  </w:style>
  <w:style w:type="character" w:customStyle="1" w:styleId="80">
    <w:name w:val="h Char Char"/>
    <w:qFormat/>
    <w:uiPriority w:val="0"/>
    <w:rPr>
      <w:rFonts w:eastAsia="宋体"/>
      <w:kern w:val="2"/>
      <w:sz w:val="18"/>
      <w:lang w:val="en-US" w:eastAsia="zh-CN" w:bidi="ar-SA"/>
    </w:rPr>
  </w:style>
  <w:style w:type="character" w:customStyle="1" w:styleId="81">
    <w:name w:val="Bold"/>
    <w:qFormat/>
    <w:uiPriority w:val="0"/>
    <w:rPr>
      <w:rFonts w:ascii="Arial" w:hAnsi="Arial" w:eastAsia="黑体" w:cs="Times New Roman"/>
      <w:b/>
      <w:kern w:val="2"/>
      <w:sz w:val="32"/>
      <w:szCs w:val="32"/>
      <w:lang w:val="en-US" w:eastAsia="zh-CN" w:bidi="ar-SA"/>
    </w:rPr>
  </w:style>
  <w:style w:type="character" w:customStyle="1" w:styleId="82">
    <w:name w:val="Ò³Ã¼ Char Char"/>
    <w:qFormat/>
    <w:uiPriority w:val="0"/>
    <w:rPr>
      <w:rFonts w:eastAsia="宋体"/>
      <w:kern w:val="2"/>
      <w:sz w:val="18"/>
      <w:lang w:val="en-US" w:eastAsia="zh-CN" w:bidi="ar-SA"/>
    </w:rPr>
  </w:style>
  <w:style w:type="character" w:customStyle="1" w:styleId="83">
    <w:name w:val="标准正文格式 Char"/>
    <w:qFormat/>
    <w:uiPriority w:val="0"/>
    <w:rPr>
      <w:rFonts w:ascii="宋体" w:eastAsia="仿宋_GB2312" w:cs="宋体"/>
      <w:color w:val="000000"/>
      <w:sz w:val="24"/>
      <w:lang w:val="en-US" w:eastAsia="zh-CN" w:bidi="ar-SA"/>
    </w:rPr>
  </w:style>
  <w:style w:type="character" w:customStyle="1" w:styleId="84">
    <w:name w:val="正文文本缩进 2 Char"/>
    <w:link w:val="36"/>
    <w:qFormat/>
    <w:uiPriority w:val="0"/>
    <w:rPr>
      <w:rFonts w:ascii="宋体"/>
      <w:sz w:val="28"/>
    </w:rPr>
  </w:style>
  <w:style w:type="character" w:customStyle="1" w:styleId="85">
    <w:name w:val="Char Char8"/>
    <w:qFormat/>
    <w:uiPriority w:val="0"/>
    <w:rPr>
      <w:rFonts w:eastAsia="宋体"/>
      <w:b/>
      <w:sz w:val="24"/>
      <w:lang w:val="en-GB" w:eastAsia="zh-CN"/>
    </w:rPr>
  </w:style>
  <w:style w:type="character" w:customStyle="1" w:styleId="86">
    <w:name w:val="No Spacing Char"/>
    <w:link w:val="87"/>
    <w:qFormat/>
    <w:uiPriority w:val="1"/>
    <w:rPr>
      <w:rFonts w:ascii="Calibri" w:hAnsi="Calibri"/>
      <w:sz w:val="22"/>
      <w:szCs w:val="22"/>
      <w:lang w:val="en-US" w:eastAsia="zh-CN" w:bidi="ar-SA"/>
    </w:rPr>
  </w:style>
  <w:style w:type="paragraph" w:customStyle="1" w:styleId="87">
    <w:name w:val="无间隔1"/>
    <w:link w:val="86"/>
    <w:qFormat/>
    <w:uiPriority w:val="1"/>
    <w:rPr>
      <w:rFonts w:ascii="Calibri" w:hAnsi="Calibri" w:eastAsia="宋体" w:cs="Times New Roman"/>
      <w:sz w:val="22"/>
      <w:szCs w:val="22"/>
      <w:lang w:val="en-US" w:eastAsia="zh-CN" w:bidi="ar-SA"/>
    </w:rPr>
  </w:style>
  <w:style w:type="character" w:customStyle="1" w:styleId="88">
    <w:name w:val="blue1"/>
    <w:basedOn w:val="63"/>
    <w:qFormat/>
    <w:uiPriority w:val="0"/>
    <w:rPr>
      <w:rFonts w:ascii="Arial" w:hAnsi="Arial" w:eastAsia="黑体" w:cs="Arial"/>
      <w:snapToGrid w:val="0"/>
      <w:kern w:val="0"/>
      <w:szCs w:val="21"/>
    </w:rPr>
  </w:style>
  <w:style w:type="character" w:customStyle="1" w:styleId="89">
    <w:name w:val="highlight1"/>
    <w:qFormat/>
    <w:uiPriority w:val="0"/>
    <w:rPr>
      <w:rFonts w:ascii="仿宋_GB2312" w:eastAsia="微软雅黑"/>
      <w:b/>
      <w:kern w:val="2"/>
      <w:sz w:val="23"/>
      <w:szCs w:val="23"/>
      <w:lang w:val="en-US" w:eastAsia="zh-CN" w:bidi="ar-SA"/>
    </w:rPr>
  </w:style>
  <w:style w:type="character" w:customStyle="1" w:styleId="90">
    <w:name w:val="ca-131"/>
    <w:qFormat/>
    <w:uiPriority w:val="0"/>
    <w:rPr>
      <w:rFonts w:hint="eastAsia" w:ascii="仿宋_GB2312" w:eastAsia="仿宋_GB2312"/>
      <w:b/>
      <w:bCs/>
      <w:color w:val="000000"/>
      <w:spacing w:val="-20"/>
      <w:sz w:val="24"/>
      <w:szCs w:val="24"/>
    </w:rPr>
  </w:style>
  <w:style w:type="character" w:customStyle="1" w:styleId="91">
    <w:name w:val="h3 Char"/>
    <w:qFormat/>
    <w:uiPriority w:val="0"/>
    <w:rPr>
      <w:rFonts w:eastAsia="宋体"/>
      <w:b/>
      <w:kern w:val="2"/>
      <w:sz w:val="32"/>
      <w:lang w:val="en-US" w:eastAsia="zh-CN" w:bidi="ar-SA"/>
    </w:rPr>
  </w:style>
  <w:style w:type="character" w:customStyle="1" w:styleId="92">
    <w:name w:val="Char Char12"/>
    <w:qFormat/>
    <w:uiPriority w:val="0"/>
    <w:rPr>
      <w:rFonts w:ascii="仿宋_GB2312" w:eastAsia="仿宋_GB2312"/>
      <w:b/>
      <w:bCs/>
      <w:kern w:val="2"/>
      <w:sz w:val="24"/>
      <w:szCs w:val="24"/>
      <w:lang w:val="zh-CN" w:eastAsia="zh-CN" w:bidi="ar-SA"/>
    </w:rPr>
  </w:style>
  <w:style w:type="character" w:customStyle="1" w:styleId="93">
    <w:name w:val="Comment Text Char"/>
    <w:semiHidden/>
    <w:qFormat/>
    <w:locked/>
    <w:uiPriority w:val="0"/>
    <w:rPr>
      <w:rFonts w:ascii="宋体" w:hAnsi="宋体" w:eastAsia="宋体"/>
      <w:kern w:val="2"/>
      <w:sz w:val="24"/>
      <w:lang w:val="en-US" w:eastAsia="zh-CN" w:bidi="ar-SA"/>
    </w:rPr>
  </w:style>
  <w:style w:type="character" w:customStyle="1" w:styleId="94">
    <w:name w:val="批注文字 Char"/>
    <w:qFormat/>
    <w:uiPriority w:val="99"/>
    <w:rPr>
      <w:kern w:val="2"/>
      <w:sz w:val="21"/>
      <w:szCs w:val="24"/>
    </w:rPr>
  </w:style>
  <w:style w:type="character" w:customStyle="1" w:styleId="95">
    <w:name w:val="仿宋正文 Char"/>
    <w:link w:val="96"/>
    <w:qFormat/>
    <w:uiPriority w:val="0"/>
    <w:rPr>
      <w:rFonts w:ascii="仿宋_GB2312" w:eastAsia="仿宋_GB2312"/>
      <w:kern w:val="2"/>
      <w:sz w:val="24"/>
      <w:lang w:val="en-US" w:eastAsia="zh-CN" w:bidi="ar-SA"/>
    </w:rPr>
  </w:style>
  <w:style w:type="paragraph" w:customStyle="1" w:styleId="96">
    <w:name w:val="仿宋正文"/>
    <w:basedOn w:val="1"/>
    <w:link w:val="95"/>
    <w:qFormat/>
    <w:uiPriority w:val="0"/>
    <w:pPr>
      <w:adjustRightInd/>
      <w:spacing w:line="360" w:lineRule="auto"/>
      <w:ind w:firstLine="480" w:firstLineChars="200"/>
    </w:pPr>
    <w:rPr>
      <w:rFonts w:ascii="仿宋_GB2312" w:eastAsia="仿宋_GB2312"/>
      <w:sz w:val="24"/>
      <w:szCs w:val="20"/>
    </w:rPr>
  </w:style>
  <w:style w:type="character" w:customStyle="1" w:styleId="97">
    <w:name w:val="style91"/>
    <w:qFormat/>
    <w:uiPriority w:val="0"/>
    <w:rPr>
      <w:color w:val="333333"/>
    </w:rPr>
  </w:style>
  <w:style w:type="character" w:customStyle="1" w:styleId="98">
    <w:name w:val="Char Char4"/>
    <w:qFormat/>
    <w:uiPriority w:val="0"/>
    <w:rPr>
      <w:rFonts w:eastAsia="宋体"/>
      <w:b/>
      <w:sz w:val="24"/>
      <w:lang w:val="en-GB" w:eastAsia="zh-CN" w:bidi="ar-SA"/>
    </w:rPr>
  </w:style>
  <w:style w:type="character" w:customStyle="1" w:styleId="99">
    <w:name w:val="Char Char2"/>
    <w:qFormat/>
    <w:uiPriority w:val="0"/>
    <w:rPr>
      <w:rFonts w:eastAsia="宋体"/>
      <w:b/>
      <w:bCs/>
      <w:kern w:val="2"/>
      <w:sz w:val="21"/>
      <w:szCs w:val="24"/>
      <w:lang w:val="en-US" w:eastAsia="zh-CN" w:bidi="ar-SA"/>
    </w:rPr>
  </w:style>
  <w:style w:type="character" w:customStyle="1" w:styleId="100">
    <w:name w:val="正文 项目2 Char"/>
    <w:basedOn w:val="101"/>
    <w:qFormat/>
    <w:uiPriority w:val="0"/>
    <w:rPr>
      <w:rFonts w:ascii="仿宋_GB2312" w:hAnsi="仿宋_GB2312" w:eastAsia="仿宋_GB2312"/>
      <w:kern w:val="2"/>
      <w:sz w:val="24"/>
      <w:lang w:bidi="ar-SA"/>
    </w:rPr>
  </w:style>
  <w:style w:type="character" w:customStyle="1" w:styleId="101">
    <w:name w:val="正文 项目 Char"/>
    <w:qFormat/>
    <w:uiPriority w:val="0"/>
    <w:rPr>
      <w:rFonts w:ascii="仿宋_GB2312" w:hAnsi="仿宋_GB2312" w:eastAsia="仿宋_GB2312"/>
      <w:kern w:val="2"/>
      <w:sz w:val="24"/>
      <w:lang w:bidi="ar-SA"/>
    </w:rPr>
  </w:style>
  <w:style w:type="character" w:customStyle="1" w:styleId="102">
    <w:name w:val="页眉 Char1"/>
    <w:qFormat/>
    <w:uiPriority w:val="0"/>
    <w:rPr>
      <w:rFonts w:eastAsia="宋体"/>
      <w:kern w:val="2"/>
      <w:sz w:val="18"/>
      <w:szCs w:val="18"/>
      <w:lang w:val="en-US" w:eastAsia="zh-CN" w:bidi="ar-SA"/>
    </w:rPr>
  </w:style>
  <w:style w:type="character" w:customStyle="1" w:styleId="103">
    <w:name w:val="副标题 Char"/>
    <w:link w:val="45"/>
    <w:qFormat/>
    <w:uiPriority w:val="0"/>
    <w:rPr>
      <w:rFonts w:ascii="Arial" w:hAnsi="Arial" w:eastAsia="隶书"/>
      <w:b/>
      <w:bCs/>
      <w:kern w:val="28"/>
      <w:sz w:val="44"/>
      <w:szCs w:val="32"/>
      <w:lang w:val="en-US" w:eastAsia="zh-CN" w:bidi="ar-SA"/>
    </w:rPr>
  </w:style>
  <w:style w:type="character" w:customStyle="1" w:styleId="104">
    <w:name w:val="正文文本缩进 Char1"/>
    <w:link w:val="24"/>
    <w:qFormat/>
    <w:uiPriority w:val="0"/>
    <w:rPr>
      <w:rFonts w:ascii="宋体" w:hAnsi="宋体"/>
      <w:kern w:val="2"/>
      <w:sz w:val="24"/>
      <w:szCs w:val="24"/>
    </w:rPr>
  </w:style>
  <w:style w:type="character" w:customStyle="1" w:styleId="105">
    <w:name w:val="big1"/>
    <w:qFormat/>
    <w:uiPriority w:val="0"/>
    <w:rPr>
      <w:rFonts w:hint="eastAsia" w:ascii="宋体" w:hAnsi="宋体" w:eastAsia="宋体"/>
      <w:color w:val="333333"/>
      <w:sz w:val="22"/>
      <w:szCs w:val="22"/>
    </w:rPr>
  </w:style>
  <w:style w:type="character" w:customStyle="1" w:styleId="106">
    <w:name w:val="h Char Char1"/>
    <w:qFormat/>
    <w:uiPriority w:val="0"/>
    <w:rPr>
      <w:rFonts w:eastAsia="宋体"/>
      <w:kern w:val="2"/>
      <w:sz w:val="18"/>
      <w:szCs w:val="18"/>
      <w:lang w:val="en-US" w:eastAsia="zh-CN" w:bidi="ar-SA"/>
    </w:rPr>
  </w:style>
  <w:style w:type="character" w:customStyle="1" w:styleId="107">
    <w:name w:val="样式8 Char"/>
    <w:qFormat/>
    <w:uiPriority w:val="0"/>
    <w:rPr>
      <w:rFonts w:ascii="仿宋_GB2312" w:hAnsi="宋体" w:eastAsia="仿宋_GB2312"/>
      <w:b/>
      <w:bCs/>
      <w:kern w:val="2"/>
      <w:sz w:val="24"/>
      <w:szCs w:val="24"/>
    </w:rPr>
  </w:style>
  <w:style w:type="character" w:customStyle="1" w:styleId="108">
    <w:name w:val="HTML 预设格式 Char"/>
    <w:link w:val="55"/>
    <w:qFormat/>
    <w:uiPriority w:val="0"/>
    <w:rPr>
      <w:rFonts w:ascii="黑体" w:hAnsi="Courier New" w:eastAsia="黑体"/>
    </w:rPr>
  </w:style>
  <w:style w:type="character" w:customStyle="1" w:styleId="109">
    <w:name w:val="页脚 Char1"/>
    <w:qFormat/>
    <w:uiPriority w:val="0"/>
    <w:rPr>
      <w:rFonts w:eastAsia="宋体"/>
      <w:kern w:val="2"/>
      <w:sz w:val="18"/>
      <w:szCs w:val="18"/>
      <w:lang w:val="en-US" w:eastAsia="zh-CN" w:bidi="ar-SA"/>
    </w:rPr>
  </w:style>
  <w:style w:type="character" w:customStyle="1" w:styleId="110">
    <w:name w:val="myp11"/>
    <w:qFormat/>
    <w:uiPriority w:val="0"/>
    <w:rPr>
      <w:rFonts w:ascii="仿宋_GB2312" w:eastAsia="微软雅黑"/>
      <w:b/>
      <w:kern w:val="2"/>
      <w:sz w:val="32"/>
      <w:szCs w:val="32"/>
      <w:lang w:val="en-US" w:eastAsia="zh-CN" w:bidi="ar-SA"/>
    </w:rPr>
  </w:style>
  <w:style w:type="character" w:customStyle="1" w:styleId="111">
    <w:name w:val="正文文本 2 Char"/>
    <w:qFormat/>
    <w:uiPriority w:val="0"/>
    <w:rPr>
      <w:rFonts w:eastAsia="宋体"/>
      <w:kern w:val="2"/>
      <w:sz w:val="21"/>
      <w:szCs w:val="24"/>
      <w:lang w:val="en-US" w:eastAsia="zh-CN" w:bidi="ar-SA"/>
    </w:rPr>
  </w:style>
  <w:style w:type="character" w:customStyle="1" w:styleId="112">
    <w:name w:val="tw4winTerm"/>
    <w:qFormat/>
    <w:uiPriority w:val="0"/>
    <w:rPr>
      <w:color w:val="0000FF"/>
    </w:rPr>
  </w:style>
  <w:style w:type="character" w:customStyle="1" w:styleId="113">
    <w:name w:val="标题 8 Char"/>
    <w:link w:val="11"/>
    <w:qFormat/>
    <w:uiPriority w:val="0"/>
    <w:rPr>
      <w:rFonts w:ascii="Arial" w:hAnsi="Arial" w:eastAsia="黑体"/>
      <w:kern w:val="2"/>
      <w:sz w:val="24"/>
      <w:szCs w:val="24"/>
    </w:rPr>
  </w:style>
  <w:style w:type="character" w:customStyle="1" w:styleId="114">
    <w:name w:val="标题 2 Char Char"/>
    <w:qFormat/>
    <w:uiPriority w:val="0"/>
    <w:rPr>
      <w:rFonts w:ascii="楷体_GB2312" w:hAnsi="Arial" w:eastAsia="楷体_GB2312"/>
      <w:b/>
      <w:bCs/>
      <w:kern w:val="2"/>
      <w:sz w:val="24"/>
      <w:szCs w:val="32"/>
      <w:lang w:val="en-US" w:eastAsia="zh-CN" w:bidi="ar-SA"/>
    </w:rPr>
  </w:style>
  <w:style w:type="character" w:customStyle="1" w:styleId="115">
    <w:name w:val="hei16b1"/>
    <w:qFormat/>
    <w:uiPriority w:val="0"/>
    <w:rPr>
      <w:rFonts w:hint="default" w:ascii="Arial" w:hAnsi="Arial" w:cs="Arial"/>
      <w:b/>
      <w:bCs/>
      <w:color w:val="000000"/>
      <w:sz w:val="24"/>
      <w:szCs w:val="24"/>
    </w:rPr>
  </w:style>
  <w:style w:type="character" w:customStyle="1" w:styleId="116">
    <w:name w:val="Heading 7 Char"/>
    <w:qFormat/>
    <w:locked/>
    <w:uiPriority w:val="0"/>
    <w:rPr>
      <w:rFonts w:ascii="宋体" w:hAnsi="宋体" w:eastAsia="宋体"/>
      <w:b/>
      <w:bCs/>
      <w:kern w:val="2"/>
      <w:sz w:val="24"/>
      <w:szCs w:val="24"/>
      <w:lang w:val="en-US" w:eastAsia="zh-CN" w:bidi="ar-SA"/>
    </w:rPr>
  </w:style>
  <w:style w:type="character" w:customStyle="1" w:styleId="117">
    <w:name w:val="Char Char6"/>
    <w:qFormat/>
    <w:uiPriority w:val="0"/>
    <w:rPr>
      <w:rFonts w:eastAsia="宋体"/>
      <w:kern w:val="2"/>
      <w:sz w:val="21"/>
      <w:szCs w:val="24"/>
      <w:lang w:val="en-US" w:eastAsia="zh-CN" w:bidi="ar-SA"/>
    </w:rPr>
  </w:style>
  <w:style w:type="character" w:customStyle="1" w:styleId="118">
    <w:name w:val="哈哈正文 Char"/>
    <w:link w:val="119"/>
    <w:qFormat/>
    <w:uiPriority w:val="0"/>
    <w:rPr>
      <w:rFonts w:ascii="宋体" w:hAnsi="宋体" w:eastAsia="宋体"/>
      <w:kern w:val="2"/>
      <w:sz w:val="24"/>
      <w:lang w:bidi="ar-SA"/>
    </w:rPr>
  </w:style>
  <w:style w:type="paragraph" w:customStyle="1" w:styleId="119">
    <w:name w:val="哈哈正文"/>
    <w:basedOn w:val="1"/>
    <w:link w:val="118"/>
    <w:qFormat/>
    <w:uiPriority w:val="0"/>
    <w:pPr>
      <w:adjustRightInd/>
      <w:spacing w:line="360" w:lineRule="auto"/>
      <w:ind w:firstLine="200" w:firstLineChars="200"/>
    </w:pPr>
    <w:rPr>
      <w:rFonts w:ascii="宋体" w:hAnsi="宋体"/>
      <w:sz w:val="24"/>
      <w:szCs w:val="20"/>
    </w:rPr>
  </w:style>
  <w:style w:type="character" w:customStyle="1" w:styleId="120">
    <w:name w:val="pt141"/>
    <w:qFormat/>
    <w:uiPriority w:val="0"/>
    <w:rPr>
      <w:color w:val="330066"/>
      <w:sz w:val="22"/>
      <w:szCs w:val="22"/>
    </w:rPr>
  </w:style>
  <w:style w:type="character" w:customStyle="1" w:styleId="121">
    <w:name w:val="普通文字 Char3"/>
    <w:qFormat/>
    <w:uiPriority w:val="0"/>
    <w:rPr>
      <w:rFonts w:ascii="宋体" w:hAnsi="Courier New" w:eastAsia="宋体"/>
      <w:kern w:val="2"/>
      <w:sz w:val="21"/>
      <w:lang w:val="en-US" w:eastAsia="zh-CN" w:bidi="ar-SA"/>
    </w:rPr>
  </w:style>
  <w:style w:type="character" w:customStyle="1" w:styleId="122">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23">
    <w:name w:val="正文文本 Char1"/>
    <w:link w:val="2"/>
    <w:semiHidden/>
    <w:qFormat/>
    <w:uiPriority w:val="0"/>
    <w:rPr>
      <w:rFonts w:ascii="宋体" w:hAnsi="Arial" w:eastAsia="宋体" w:cs="Arial"/>
      <w:snapToGrid w:val="0"/>
      <w:kern w:val="2"/>
      <w:sz w:val="24"/>
      <w:szCs w:val="21"/>
      <w:lang w:val="zh-CN" w:eastAsia="zh-CN" w:bidi="ar-SA"/>
    </w:rPr>
  </w:style>
  <w:style w:type="character" w:customStyle="1" w:styleId="124">
    <w:name w:val="正文2 Char"/>
    <w:qFormat/>
    <w:uiPriority w:val="0"/>
    <w:rPr>
      <w:rFonts w:eastAsia="宋体"/>
      <w:kern w:val="2"/>
      <w:sz w:val="24"/>
      <w:lang w:val="en-US" w:eastAsia="zh-CN" w:bidi="ar-SA"/>
    </w:rPr>
  </w:style>
  <w:style w:type="character" w:customStyle="1" w:styleId="125">
    <w:name w:val="普通文字 Char1"/>
    <w:qFormat/>
    <w:uiPriority w:val="0"/>
    <w:rPr>
      <w:rFonts w:ascii="宋体" w:hAnsi="Courier New" w:eastAsia="宋体"/>
      <w:kern w:val="2"/>
      <w:sz w:val="21"/>
      <w:lang w:val="en-US" w:eastAsia="zh-CN"/>
    </w:rPr>
  </w:style>
  <w:style w:type="character" w:customStyle="1" w:styleId="126">
    <w:name w:val="标题 9 Char"/>
    <w:link w:val="12"/>
    <w:qFormat/>
    <w:uiPriority w:val="0"/>
    <w:rPr>
      <w:rFonts w:ascii="Arial" w:hAnsi="Arial" w:eastAsia="黑体"/>
      <w:kern w:val="2"/>
      <w:sz w:val="21"/>
      <w:szCs w:val="21"/>
    </w:rPr>
  </w:style>
  <w:style w:type="character" w:customStyle="1" w:styleId="127">
    <w:name w:val="Header Char"/>
    <w:semiHidden/>
    <w:qFormat/>
    <w:locked/>
    <w:uiPriority w:val="0"/>
    <w:rPr>
      <w:rFonts w:eastAsia="宋体"/>
      <w:kern w:val="2"/>
      <w:sz w:val="18"/>
      <w:szCs w:val="18"/>
      <w:lang w:val="en-US" w:eastAsia="zh-CN" w:bidi="ar-SA"/>
    </w:rPr>
  </w:style>
  <w:style w:type="character" w:customStyle="1" w:styleId="128">
    <w:name w:val="Footer-Even Char1"/>
    <w:qFormat/>
    <w:uiPriority w:val="0"/>
    <w:rPr>
      <w:rFonts w:eastAsia="宋体"/>
      <w:kern w:val="2"/>
      <w:sz w:val="18"/>
      <w:szCs w:val="18"/>
      <w:lang w:val="en-US" w:eastAsia="zh-CN" w:bidi="ar-SA"/>
    </w:rPr>
  </w:style>
  <w:style w:type="character" w:customStyle="1" w:styleId="129">
    <w:name w:val="unnamed31"/>
    <w:qFormat/>
    <w:uiPriority w:val="0"/>
    <w:rPr>
      <w:rFonts w:ascii="Tahoma" w:hAnsi="Tahoma" w:eastAsia="宋体"/>
      <w:b/>
      <w:kern w:val="2"/>
      <w:sz w:val="24"/>
      <w:szCs w:val="32"/>
      <w:u w:val="none"/>
      <w:lang w:val="en-US" w:eastAsia="zh-CN" w:bidi="ar-SA"/>
    </w:rPr>
  </w:style>
  <w:style w:type="character" w:customStyle="1" w:styleId="130">
    <w:name w:val="纯文本 Char Char Char"/>
    <w:qFormat/>
    <w:uiPriority w:val="0"/>
    <w:rPr>
      <w:rFonts w:ascii="宋体" w:hAnsi="Courier New" w:eastAsia="宋体"/>
      <w:kern w:val="2"/>
      <w:sz w:val="21"/>
      <w:lang w:val="en-US" w:eastAsia="zh-CN" w:bidi="ar-SA"/>
    </w:rPr>
  </w:style>
  <w:style w:type="character" w:customStyle="1" w:styleId="131">
    <w:name w:val="Body Text(ch) Char Char"/>
    <w:qFormat/>
    <w:uiPriority w:val="0"/>
    <w:rPr>
      <w:rFonts w:ascii="宋体"/>
      <w:kern w:val="2"/>
      <w:sz w:val="24"/>
      <w:szCs w:val="21"/>
      <w:lang w:val="zh-CN"/>
    </w:rPr>
  </w:style>
  <w:style w:type="character" w:customStyle="1" w:styleId="132">
    <w:name w:val="插图说明 Char"/>
    <w:qFormat/>
    <w:uiPriority w:val="0"/>
    <w:rPr>
      <w:rFonts w:eastAsia="黑体"/>
      <w:sz w:val="24"/>
      <w:lang w:val="en-US" w:eastAsia="zh-CN"/>
    </w:rPr>
  </w:style>
  <w:style w:type="character" w:customStyle="1" w:styleId="133">
    <w:name w:val="tw4winExternal"/>
    <w:qFormat/>
    <w:uiPriority w:val="0"/>
    <w:rPr>
      <w:rFonts w:ascii="Courier New" w:hAnsi="Courier New" w:cs="Courier New"/>
      <w:color w:val="808080"/>
      <w:lang w:val="en-US" w:eastAsia="zh-CN"/>
    </w:rPr>
  </w:style>
  <w:style w:type="character" w:customStyle="1" w:styleId="134">
    <w:name w:val="font21"/>
    <w:qFormat/>
    <w:uiPriority w:val="0"/>
    <w:rPr>
      <w:rFonts w:hint="eastAsia" w:ascii="宋体" w:hAnsi="宋体" w:eastAsia="宋体"/>
      <w:kern w:val="2"/>
      <w:sz w:val="28"/>
      <w:szCs w:val="28"/>
      <w:lang w:val="en-US" w:eastAsia="zh-CN" w:bidi="ar-SA"/>
    </w:rPr>
  </w:style>
  <w:style w:type="character" w:customStyle="1" w:styleId="135">
    <w:name w:val="标书正文格式 Char"/>
    <w:qFormat/>
    <w:uiPriority w:val="0"/>
    <w:rPr>
      <w:rFonts w:eastAsia="楷体_GB2312"/>
      <w:kern w:val="2"/>
      <w:sz w:val="24"/>
      <w:szCs w:val="24"/>
      <w:lang w:bidi="ar-SA"/>
    </w:rPr>
  </w:style>
  <w:style w:type="character" w:customStyle="1" w:styleId="136">
    <w:name w:val="正文首行缩进 Char"/>
    <w:link w:val="59"/>
    <w:qFormat/>
    <w:uiPriority w:val="0"/>
    <w:rPr>
      <w:rFonts w:ascii="宋体"/>
      <w:kern w:val="2"/>
      <w:sz w:val="24"/>
      <w:lang w:val="zh-CN"/>
    </w:rPr>
  </w:style>
  <w:style w:type="character" w:customStyle="1" w:styleId="137">
    <w:name w:val="javascript"/>
    <w:qFormat/>
    <w:uiPriority w:val="0"/>
  </w:style>
  <w:style w:type="character" w:customStyle="1" w:styleId="138">
    <w:name w:val="Balloon Text Char"/>
    <w:semiHidden/>
    <w:qFormat/>
    <w:locked/>
    <w:uiPriority w:val="0"/>
    <w:rPr>
      <w:rFonts w:eastAsia="宋体"/>
      <w:kern w:val="2"/>
      <w:sz w:val="18"/>
      <w:szCs w:val="18"/>
      <w:lang w:val="en-US" w:eastAsia="zh-CN" w:bidi="ar-SA"/>
    </w:rPr>
  </w:style>
  <w:style w:type="character" w:customStyle="1" w:styleId="139">
    <w:name w:val="Char Char5"/>
    <w:qFormat/>
    <w:uiPriority w:val="0"/>
    <w:rPr>
      <w:rFonts w:ascii="宋体" w:hAnsi="Courier New" w:eastAsia="宋体"/>
      <w:kern w:val="2"/>
      <w:sz w:val="21"/>
      <w:lang w:val="en-US" w:eastAsia="zh-CN"/>
    </w:rPr>
  </w:style>
  <w:style w:type="character" w:customStyle="1" w:styleId="140">
    <w:name w:val="Char Char"/>
    <w:qFormat/>
    <w:uiPriority w:val="0"/>
    <w:rPr>
      <w:rFonts w:ascii="宋体" w:hAnsi="Courier New" w:eastAsia="宋体"/>
      <w:kern w:val="2"/>
      <w:sz w:val="21"/>
      <w:lang w:val="en-US" w:eastAsia="zh-CN" w:bidi="ar-SA"/>
    </w:rPr>
  </w:style>
  <w:style w:type="character" w:customStyle="1" w:styleId="141">
    <w:name w:val="mdeck"/>
    <w:qFormat/>
    <w:uiPriority w:val="0"/>
    <w:rPr>
      <w:rFonts w:ascii="仿宋_GB2312" w:eastAsia="微软雅黑"/>
      <w:b/>
      <w:kern w:val="2"/>
      <w:sz w:val="32"/>
      <w:szCs w:val="32"/>
      <w:lang w:val="en-US" w:eastAsia="zh-CN" w:bidi="ar-SA"/>
    </w:rPr>
  </w:style>
  <w:style w:type="character" w:customStyle="1" w:styleId="142">
    <w:name w:val="content"/>
    <w:qFormat/>
    <w:uiPriority w:val="0"/>
  </w:style>
  <w:style w:type="character" w:customStyle="1" w:styleId="143">
    <w:name w:val="Char Char3"/>
    <w:qFormat/>
    <w:uiPriority w:val="0"/>
    <w:rPr>
      <w:rFonts w:eastAsia="宋体"/>
      <w:kern w:val="2"/>
      <w:sz w:val="21"/>
      <w:szCs w:val="24"/>
      <w:lang w:val="en-US" w:eastAsia="zh-CN" w:bidi="ar-SA"/>
    </w:rPr>
  </w:style>
  <w:style w:type="character" w:customStyle="1" w:styleId="144">
    <w:name w:val="Char Char81"/>
    <w:qFormat/>
    <w:uiPriority w:val="6"/>
    <w:rPr>
      <w:rFonts w:eastAsia="宋体"/>
      <w:b/>
      <w:sz w:val="24"/>
      <w:lang w:val="en-GB" w:eastAsia="zh-CN"/>
    </w:rPr>
  </w:style>
  <w:style w:type="character" w:customStyle="1" w:styleId="145">
    <w:name w:val="页眉 Char"/>
    <w:qFormat/>
    <w:uiPriority w:val="99"/>
    <w:rPr>
      <w:rFonts w:eastAsia="仿宋_GB2312"/>
      <w:kern w:val="2"/>
      <w:sz w:val="18"/>
      <w:lang w:val="en-US" w:eastAsia="zh-CN"/>
    </w:rPr>
  </w:style>
  <w:style w:type="character" w:customStyle="1" w:styleId="146">
    <w:name w:val="b11_01b Char"/>
    <w:link w:val="147"/>
    <w:qFormat/>
    <w:uiPriority w:val="0"/>
    <w:rPr>
      <w:rFonts w:ascii="Verdana" w:hAnsi="Verdana"/>
      <w:b/>
      <w:bCs/>
      <w:color w:val="4A82CA"/>
      <w:sz w:val="17"/>
      <w:szCs w:val="17"/>
    </w:rPr>
  </w:style>
  <w:style w:type="paragraph" w:customStyle="1" w:styleId="147">
    <w:name w:val="b11_01b"/>
    <w:basedOn w:val="1"/>
    <w:next w:val="1"/>
    <w:link w:val="14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48">
    <w:name w:val="标题4-dyf Char"/>
    <w:link w:val="149"/>
    <w:qFormat/>
    <w:uiPriority w:val="0"/>
    <w:rPr>
      <w:rFonts w:ascii="Cambria" w:hAnsi="Cambria"/>
      <w:b/>
      <w:bCs/>
      <w:color w:val="000000"/>
      <w:kern w:val="2"/>
      <w:sz w:val="21"/>
      <w:szCs w:val="21"/>
    </w:rPr>
  </w:style>
  <w:style w:type="paragraph" w:customStyle="1" w:styleId="149">
    <w:name w:val="标题4-dyf"/>
    <w:basedOn w:val="7"/>
    <w:link w:val="148"/>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50">
    <w:name w:val="批注主题 Char"/>
    <w:qFormat/>
    <w:uiPriority w:val="0"/>
    <w:rPr>
      <w:rFonts w:eastAsia="宋体"/>
      <w:b/>
      <w:bCs/>
      <w:kern w:val="2"/>
      <w:sz w:val="21"/>
      <w:szCs w:val="24"/>
      <w:lang w:val="en-US" w:eastAsia="zh-CN" w:bidi="ar-SA"/>
    </w:rPr>
  </w:style>
  <w:style w:type="character" w:customStyle="1" w:styleId="15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52">
    <w:name w:val="标题 3 Char2"/>
    <w:qFormat/>
    <w:uiPriority w:val="0"/>
    <w:rPr>
      <w:rFonts w:eastAsia="宋体"/>
      <w:b/>
      <w:bCs/>
      <w:kern w:val="2"/>
      <w:sz w:val="32"/>
      <w:szCs w:val="32"/>
      <w:lang w:val="en-US" w:eastAsia="zh-CN" w:bidi="ar-SA"/>
    </w:rPr>
  </w:style>
  <w:style w:type="character" w:customStyle="1" w:styleId="153">
    <w:name w:val="gray6"/>
    <w:basedOn w:val="63"/>
    <w:qFormat/>
    <w:uiPriority w:val="0"/>
    <w:rPr>
      <w:rFonts w:ascii="Arial" w:hAnsi="Arial" w:eastAsia="黑体" w:cs="Arial"/>
      <w:snapToGrid w:val="0"/>
      <w:kern w:val="0"/>
      <w:szCs w:val="21"/>
    </w:rPr>
  </w:style>
  <w:style w:type="character" w:customStyle="1" w:styleId="154">
    <w:name w:val="正文首行缩进两字 Char"/>
    <w:qFormat/>
    <w:uiPriority w:val="0"/>
    <w:rPr>
      <w:sz w:val="24"/>
      <w:szCs w:val="24"/>
      <w:lang w:val="en-US" w:eastAsia="zh-CN" w:bidi="ar-SA"/>
    </w:rPr>
  </w:style>
  <w:style w:type="character" w:customStyle="1" w:styleId="155">
    <w:name w:val="Char Char51"/>
    <w:qFormat/>
    <w:uiPriority w:val="0"/>
    <w:rPr>
      <w:rFonts w:ascii="宋体" w:hAnsi="Courier New" w:eastAsia="宋体"/>
      <w:kern w:val="2"/>
      <w:sz w:val="21"/>
      <w:lang w:val="en-US" w:eastAsia="zh-CN"/>
    </w:rPr>
  </w:style>
  <w:style w:type="character" w:customStyle="1" w:styleId="156">
    <w:name w:val="带编号样式 Char"/>
    <w:qFormat/>
    <w:uiPriority w:val="0"/>
    <w:rPr>
      <w:rFonts w:ascii="仿宋_GB2312" w:eastAsia="仿宋_GB2312"/>
      <w:color w:val="000000"/>
      <w:sz w:val="24"/>
      <w:lang w:bidi="ar-SA"/>
    </w:rPr>
  </w:style>
  <w:style w:type="character" w:customStyle="1" w:styleId="157">
    <w:name w:val="Footer-Even Char"/>
    <w:qFormat/>
    <w:uiPriority w:val="0"/>
    <w:rPr>
      <w:rFonts w:eastAsia="宋体"/>
      <w:kern w:val="2"/>
      <w:sz w:val="18"/>
      <w:lang w:val="en-US" w:eastAsia="zh-CN" w:bidi="ar-SA"/>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样式 标题 4h4H4Fab-4T5Ref Heading 1rh1Heading sqlsect 1.2.3.... Char"/>
    <w:link w:val="160"/>
    <w:qFormat/>
    <w:uiPriority w:val="0"/>
    <w:rPr>
      <w:rFonts w:ascii="微软雅黑" w:hAnsi="微软雅黑" w:eastAsia="微软雅黑"/>
      <w:b/>
      <w:bCs/>
      <w:kern w:val="2"/>
      <w:sz w:val="24"/>
      <w:szCs w:val="28"/>
    </w:rPr>
  </w:style>
  <w:style w:type="paragraph" w:customStyle="1" w:styleId="160">
    <w:name w:val="样式 标题 4h4H4Fab-4T5Ref Heading 1rh1Heading sqlsect 1.2.3...."/>
    <w:basedOn w:val="7"/>
    <w:link w:val="159"/>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61">
    <w:name w:val="dandyren_title1"/>
    <w:qFormat/>
    <w:uiPriority w:val="0"/>
    <w:rPr>
      <w:b/>
      <w:bCs/>
      <w:color w:val="FF6633"/>
      <w:sz w:val="18"/>
      <w:szCs w:val="18"/>
    </w:rPr>
  </w:style>
  <w:style w:type="character" w:customStyle="1" w:styleId="162">
    <w:name w:val="普通文字 Char Char1"/>
    <w:qFormat/>
    <w:uiPriority w:val="0"/>
    <w:rPr>
      <w:rFonts w:ascii="宋体" w:hAnsi="Courier New"/>
      <w:kern w:val="2"/>
      <w:sz w:val="21"/>
    </w:rPr>
  </w:style>
  <w:style w:type="character" w:customStyle="1" w:styleId="163">
    <w:name w:val="PI Char"/>
    <w:qFormat/>
    <w:uiPriority w:val="0"/>
    <w:rPr>
      <w:rFonts w:ascii="宋体" w:hAnsi="宋体" w:eastAsia="宋体"/>
      <w:kern w:val="2"/>
      <w:sz w:val="24"/>
      <w:szCs w:val="24"/>
      <w:lang w:val="en-US" w:eastAsia="zh-CN" w:bidi="ar-SA"/>
    </w:rPr>
  </w:style>
  <w:style w:type="character" w:customStyle="1" w:styleId="164">
    <w:name w:val="Char Char11"/>
    <w:qFormat/>
    <w:locked/>
    <w:uiPriority w:val="0"/>
    <w:rPr>
      <w:rFonts w:ascii="宋体" w:hAnsi="宋体" w:eastAsia="宋体"/>
      <w:b/>
      <w:kern w:val="2"/>
      <w:sz w:val="24"/>
      <w:szCs w:val="24"/>
      <w:lang w:val="en-US" w:eastAsia="zh-CN" w:bidi="ar-SA"/>
    </w:rPr>
  </w:style>
  <w:style w:type="character" w:customStyle="1" w:styleId="16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6">
    <w:name w:val="Document Map Char"/>
    <w:semiHidden/>
    <w:qFormat/>
    <w:locked/>
    <w:uiPriority w:val="0"/>
    <w:rPr>
      <w:rFonts w:eastAsia="宋体"/>
      <w:kern w:val="2"/>
      <w:sz w:val="21"/>
      <w:szCs w:val="24"/>
      <w:lang w:val="en-US" w:eastAsia="zh-CN" w:bidi="ar-SA"/>
    </w:rPr>
  </w:style>
  <w:style w:type="character" w:customStyle="1" w:styleId="167">
    <w:name w:val="正文文本缩进 Char"/>
    <w:qFormat/>
    <w:uiPriority w:val="0"/>
    <w:rPr>
      <w:rFonts w:ascii="宋体" w:hAnsi="宋体"/>
      <w:kern w:val="2"/>
      <w:sz w:val="24"/>
      <w:szCs w:val="24"/>
    </w:rPr>
  </w:style>
  <w:style w:type="character" w:customStyle="1" w:styleId="168">
    <w:name w:val="文本正文 Char Char"/>
    <w:qFormat/>
    <w:locked/>
    <w:uiPriority w:val="0"/>
    <w:rPr>
      <w:sz w:val="24"/>
      <w:lang w:bidi="ar-SA"/>
    </w:rPr>
  </w:style>
  <w:style w:type="character" w:customStyle="1" w:styleId="169">
    <w:name w:val="样式7 Char"/>
    <w:qFormat/>
    <w:uiPriority w:val="0"/>
    <w:rPr>
      <w:rFonts w:ascii="仿宋_GB2312" w:hAnsi="仿宋" w:eastAsia="仿宋_GB2312"/>
      <w:b/>
      <w:kern w:val="2"/>
      <w:sz w:val="24"/>
      <w:szCs w:val="24"/>
    </w:rPr>
  </w:style>
  <w:style w:type="character" w:customStyle="1" w:styleId="170">
    <w:name w:val="样式3 Char"/>
    <w:basedOn w:val="171"/>
    <w:qFormat/>
    <w:uiPriority w:val="0"/>
    <w:rPr>
      <w:rFonts w:ascii="仿宋_GB2312" w:hAnsi="仿宋" w:eastAsia="仿宋_GB2312" w:cs="仿宋_GB2312"/>
      <w:sz w:val="32"/>
      <w:szCs w:val="30"/>
      <w:lang w:val="zh-CN"/>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二级标题 Char Char"/>
    <w:qFormat/>
    <w:uiPriority w:val="0"/>
    <w:rPr>
      <w:rFonts w:ascii="宋体" w:hAnsi="宋体" w:eastAsia="宋体"/>
      <w:b/>
      <w:snapToGrid w:val="0"/>
      <w:kern w:val="2"/>
      <w:sz w:val="24"/>
      <w:szCs w:val="24"/>
      <w:lang w:val="en-US" w:eastAsia="zh-CN" w:bidi="ar-SA"/>
    </w:rPr>
  </w:style>
  <w:style w:type="character" w:customStyle="1" w:styleId="173">
    <w:name w:val="Table Text Char1"/>
    <w:qFormat/>
    <w:uiPriority w:val="0"/>
    <w:rPr>
      <w:rFonts w:eastAsia="宋体"/>
      <w:sz w:val="24"/>
      <w:szCs w:val="24"/>
      <w:lang w:val="en-US" w:eastAsia="zh-CN" w:bidi="ar-SA"/>
    </w:rPr>
  </w:style>
  <w:style w:type="character" w:customStyle="1" w:styleId="174">
    <w:name w:val="shadow11"/>
    <w:qFormat/>
    <w:uiPriority w:val="0"/>
    <w:rPr>
      <w:color w:val="000000"/>
      <w:sz w:val="21"/>
    </w:rPr>
  </w:style>
  <w:style w:type="character" w:customStyle="1" w:styleId="175">
    <w:name w:val="HTML 地址 Char"/>
    <w:link w:val="29"/>
    <w:qFormat/>
    <w:uiPriority w:val="0"/>
    <w:rPr>
      <w:rFonts w:ascii="宋体" w:hAnsi="宋体"/>
      <w:i/>
      <w:iCs/>
      <w:sz w:val="24"/>
      <w:szCs w:val="24"/>
    </w:rPr>
  </w:style>
  <w:style w:type="character" w:customStyle="1" w:styleId="176">
    <w:name w:val="Char Char21"/>
    <w:qFormat/>
    <w:uiPriority w:val="0"/>
    <w:rPr>
      <w:rFonts w:eastAsia="宋体"/>
      <w:b/>
      <w:bCs/>
      <w:kern w:val="2"/>
      <w:sz w:val="21"/>
      <w:szCs w:val="24"/>
      <w:lang w:val="en-US" w:eastAsia="zh-CN" w:bidi="ar-SA"/>
    </w:rPr>
  </w:style>
  <w:style w:type="character" w:customStyle="1" w:styleId="177">
    <w:name w:val="标题 5 Char"/>
    <w:link w:val="8"/>
    <w:qFormat/>
    <w:uiPriority w:val="0"/>
    <w:rPr>
      <w:b/>
      <w:bCs/>
      <w:kern w:val="2"/>
      <w:sz w:val="28"/>
      <w:szCs w:val="28"/>
    </w:rPr>
  </w:style>
  <w:style w:type="character" w:customStyle="1" w:styleId="178">
    <w:name w:val="h3 Char1"/>
    <w:qFormat/>
    <w:uiPriority w:val="0"/>
    <w:rPr>
      <w:rFonts w:eastAsia="宋体"/>
      <w:b/>
      <w:bCs/>
      <w:kern w:val="2"/>
      <w:sz w:val="32"/>
      <w:szCs w:val="32"/>
      <w:lang w:bidi="ar-SA"/>
    </w:rPr>
  </w:style>
  <w:style w:type="character" w:customStyle="1" w:styleId="179">
    <w:name w:val="FA正文 Char Char"/>
    <w:qFormat/>
    <w:uiPriority w:val="0"/>
    <w:rPr>
      <w:rFonts w:hAnsi="宋体"/>
      <w:kern w:val="2"/>
      <w:sz w:val="24"/>
      <w:lang w:bidi="ar-SA"/>
    </w:rPr>
  </w:style>
  <w:style w:type="character" w:customStyle="1" w:styleId="180">
    <w:name w:val="首行缩进 Char"/>
    <w:qFormat/>
    <w:uiPriority w:val="0"/>
    <w:rPr>
      <w:rFonts w:ascii="宋体" w:eastAsia="宋体"/>
      <w:kern w:val="2"/>
      <w:sz w:val="24"/>
      <w:lang w:val="en-US" w:eastAsia="zh-CN" w:bidi="ar-SA"/>
    </w:rPr>
  </w:style>
  <w:style w:type="character" w:customStyle="1" w:styleId="181">
    <w:name w:val="Char Char7"/>
    <w:semiHidden/>
    <w:qFormat/>
    <w:uiPriority w:val="0"/>
    <w:rPr>
      <w:rFonts w:eastAsia="宋体"/>
      <w:kern w:val="2"/>
      <w:sz w:val="21"/>
      <w:szCs w:val="24"/>
      <w:lang w:val="en-US" w:eastAsia="zh-CN" w:bidi="ar-SA"/>
    </w:rPr>
  </w:style>
  <w:style w:type="character" w:customStyle="1" w:styleId="182">
    <w:name w:val="hui"/>
    <w:basedOn w:val="63"/>
    <w:qFormat/>
    <w:uiPriority w:val="0"/>
    <w:rPr>
      <w:rFonts w:ascii="Arial" w:hAnsi="Arial" w:eastAsia="黑体" w:cs="Arial"/>
      <w:snapToGrid w:val="0"/>
      <w:kern w:val="0"/>
      <w:szCs w:val="21"/>
    </w:rPr>
  </w:style>
  <w:style w:type="character" w:customStyle="1" w:styleId="183">
    <w:name w:val="正文缩进 Char"/>
    <w:qFormat/>
    <w:uiPriority w:val="0"/>
    <w:rPr>
      <w:rFonts w:eastAsia="宋体"/>
      <w:kern w:val="2"/>
      <w:sz w:val="21"/>
      <w:lang w:val="en-US" w:eastAsia="zh-CN"/>
    </w:rPr>
  </w:style>
  <w:style w:type="character" w:customStyle="1" w:styleId="184">
    <w:name w:val="正文1 Char"/>
    <w:qFormat/>
    <w:uiPriority w:val="0"/>
    <w:rPr>
      <w:rFonts w:ascii="宋体" w:eastAsia="宋体"/>
      <w:snapToGrid w:val="0"/>
      <w:color w:val="000000"/>
      <w:kern w:val="28"/>
      <w:sz w:val="28"/>
      <w:lang w:val="en-US" w:eastAsia="zh-CN" w:bidi="ar-SA"/>
    </w:rPr>
  </w:style>
  <w:style w:type="character" w:customStyle="1" w:styleId="185">
    <w:name w:val="Char Char61"/>
    <w:qFormat/>
    <w:uiPriority w:val="0"/>
    <w:rPr>
      <w:rFonts w:eastAsia="宋体"/>
      <w:kern w:val="2"/>
      <w:sz w:val="21"/>
      <w:szCs w:val="24"/>
      <w:lang w:val="en-US" w:eastAsia="zh-CN" w:bidi="ar-SA"/>
    </w:rPr>
  </w:style>
  <w:style w:type="character" w:customStyle="1" w:styleId="186">
    <w:name w:val="正文文本 3 Char"/>
    <w:link w:val="23"/>
    <w:qFormat/>
    <w:uiPriority w:val="0"/>
    <w:rPr>
      <w:kern w:val="2"/>
      <w:sz w:val="21"/>
    </w:rPr>
  </w:style>
  <w:style w:type="character" w:customStyle="1" w:styleId="187">
    <w:name w:val="message1"/>
    <w:qFormat/>
    <w:uiPriority w:val="0"/>
    <w:rPr>
      <w:rFonts w:hint="default" w:ascii="Tahoma" w:hAnsi="Tahoma" w:cs="Tahoma"/>
      <w:sz w:val="18"/>
      <w:szCs w:val="18"/>
    </w:rPr>
  </w:style>
  <w:style w:type="character" w:customStyle="1" w:styleId="188">
    <w:name w:val="Heading 2 Hidden Char"/>
    <w:qFormat/>
    <w:uiPriority w:val="0"/>
    <w:rPr>
      <w:rFonts w:ascii="仿宋_GB2312" w:eastAsia="仿宋_GB2312"/>
      <w:b/>
      <w:bCs/>
      <w:kern w:val="2"/>
      <w:sz w:val="24"/>
      <w:szCs w:val="24"/>
      <w:lang w:val="zh-CN" w:eastAsia="zh-CN" w:bidi="ar-SA"/>
    </w:rPr>
  </w:style>
  <w:style w:type="character" w:customStyle="1" w:styleId="189">
    <w:name w:val="DO_NOT_TRANSLATE"/>
    <w:qFormat/>
    <w:uiPriority w:val="0"/>
    <w:rPr>
      <w:rFonts w:ascii="Courier New" w:hAnsi="Courier New" w:cs="Courier New"/>
      <w:color w:val="800000"/>
      <w:lang w:val="en-US" w:eastAsia="zh-CN"/>
    </w:rPr>
  </w:style>
  <w:style w:type="character" w:customStyle="1" w:styleId="190">
    <w:name w:val="unnamed11"/>
    <w:qFormat/>
    <w:uiPriority w:val="0"/>
    <w:rPr>
      <w:sz w:val="20"/>
      <w:szCs w:val="20"/>
    </w:rPr>
  </w:style>
  <w:style w:type="character" w:customStyle="1" w:styleId="191">
    <w:name w:val="tw4winInternal"/>
    <w:qFormat/>
    <w:uiPriority w:val="0"/>
    <w:rPr>
      <w:rFonts w:ascii="Courier New" w:hAnsi="Courier New" w:cs="Courier New"/>
      <w:color w:val="FF0000"/>
      <w:lang w:val="en-US" w:eastAsia="zh-CN"/>
    </w:rPr>
  </w:style>
  <w:style w:type="character" w:customStyle="1" w:styleId="192">
    <w:name w:val="正文（缩进2汉字） Char"/>
    <w:link w:val="193"/>
    <w:qFormat/>
    <w:uiPriority w:val="0"/>
    <w:rPr>
      <w:rFonts w:ascii="宋体"/>
    </w:rPr>
  </w:style>
  <w:style w:type="paragraph" w:customStyle="1" w:styleId="193">
    <w:name w:val="正文（缩进2汉字）"/>
    <w:basedOn w:val="1"/>
    <w:link w:val="19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4">
    <w:name w:val="页脚 Char"/>
    <w:qFormat/>
    <w:uiPriority w:val="99"/>
    <w:rPr>
      <w:rFonts w:eastAsia="仿宋_GB2312"/>
      <w:kern w:val="2"/>
      <w:sz w:val="18"/>
      <w:lang w:val="en-US" w:eastAsia="zh-CN"/>
    </w:rPr>
  </w:style>
  <w:style w:type="character" w:customStyle="1" w:styleId="195">
    <w:name w:val="正文文本缩进 3 Char"/>
    <w:link w:val="51"/>
    <w:qFormat/>
    <w:uiPriority w:val="0"/>
    <w:rPr>
      <w:kern w:val="2"/>
      <w:sz w:val="24"/>
    </w:rPr>
  </w:style>
  <w:style w:type="character" w:customStyle="1" w:styleId="196">
    <w:name w:val="正文缩进 Char1"/>
    <w:qFormat/>
    <w:uiPriority w:val="0"/>
    <w:rPr>
      <w:rFonts w:ascii="宋体" w:eastAsia="宋体"/>
      <w:snapToGrid w:val="0"/>
      <w:color w:val="000000"/>
      <w:kern w:val="28"/>
      <w:sz w:val="28"/>
      <w:lang w:val="en-US" w:eastAsia="zh-CN" w:bidi="ar-SA"/>
    </w:rPr>
  </w:style>
  <w:style w:type="character" w:customStyle="1" w:styleId="197">
    <w:name w:val="正文文本 Char"/>
    <w:qFormat/>
    <w:uiPriority w:val="0"/>
    <w:rPr>
      <w:rFonts w:eastAsia="宋体"/>
      <w:kern w:val="2"/>
      <w:sz w:val="24"/>
      <w:szCs w:val="24"/>
      <w:lang w:val="en-US" w:eastAsia="zh-CN" w:bidi="ar-SA"/>
    </w:rPr>
  </w:style>
  <w:style w:type="character" w:customStyle="1" w:styleId="198">
    <w:name w:val="style36"/>
    <w:basedOn w:val="63"/>
    <w:qFormat/>
    <w:uiPriority w:val="0"/>
    <w:rPr>
      <w:rFonts w:ascii="Arial" w:hAnsi="Arial" w:eastAsia="黑体" w:cs="Arial"/>
      <w:snapToGrid w:val="0"/>
      <w:kern w:val="0"/>
      <w:szCs w:val="21"/>
    </w:rPr>
  </w:style>
  <w:style w:type="character" w:customStyle="1" w:styleId="199">
    <w:name w:val="hui3"/>
    <w:qFormat/>
    <w:uiPriority w:val="0"/>
    <w:rPr>
      <w:color w:val="333333"/>
    </w:rPr>
  </w:style>
  <w:style w:type="character" w:customStyle="1" w:styleId="200">
    <w:name w:val="方案正文 Char"/>
    <w:qFormat/>
    <w:uiPriority w:val="0"/>
    <w:rPr>
      <w:rFonts w:ascii="仿宋_GB2312" w:eastAsia="仿宋_GB2312"/>
      <w:b/>
      <w:color w:val="000000"/>
      <w:kern w:val="2"/>
      <w:sz w:val="24"/>
      <w:lang w:val="en-US" w:eastAsia="zh-CN" w:bidi="ar-SA"/>
    </w:rPr>
  </w:style>
  <w:style w:type="character" w:customStyle="1" w:styleId="201">
    <w:name w:val="apple-converted-space"/>
    <w:qFormat/>
    <w:uiPriority w:val="0"/>
  </w:style>
  <w:style w:type="character" w:customStyle="1" w:styleId="202">
    <w:name w:val="文档结构图 Char"/>
    <w:qFormat/>
    <w:uiPriority w:val="0"/>
    <w:rPr>
      <w:rFonts w:eastAsia="宋体"/>
      <w:kern w:val="2"/>
      <w:sz w:val="21"/>
      <w:szCs w:val="24"/>
      <w:lang w:val="en-US" w:eastAsia="zh-CN" w:bidi="ar-SA"/>
    </w:rPr>
  </w:style>
  <w:style w:type="character" w:customStyle="1" w:styleId="203">
    <w:name w:val="正文非缩进 Char3"/>
    <w:qFormat/>
    <w:uiPriority w:val="0"/>
    <w:rPr>
      <w:rFonts w:ascii="宋体" w:eastAsia="宋体"/>
      <w:snapToGrid w:val="0"/>
      <w:color w:val="000000"/>
      <w:kern w:val="28"/>
      <w:sz w:val="28"/>
      <w:lang w:val="en-US" w:eastAsia="zh-CN" w:bidi="ar-SA"/>
    </w:rPr>
  </w:style>
  <w:style w:type="character" w:customStyle="1" w:styleId="204">
    <w:name w:val="dectext1"/>
    <w:qFormat/>
    <w:uiPriority w:val="0"/>
    <w:rPr>
      <w:rFonts w:ascii="宋体" w:hAnsi="宋体" w:eastAsia="宋体"/>
      <w:color w:val="333333"/>
      <w:sz w:val="21"/>
      <w:szCs w:val="21"/>
      <w:u w:val="none"/>
    </w:rPr>
  </w:style>
  <w:style w:type="character" w:customStyle="1" w:styleId="205">
    <w:name w:val="t21"/>
    <w:qFormat/>
    <w:uiPriority w:val="0"/>
    <w:rPr>
      <w:rFonts w:ascii="仿宋_GB2312" w:eastAsia="微软雅黑"/>
      <w:b/>
      <w:kern w:val="2"/>
      <w:sz w:val="23"/>
      <w:szCs w:val="23"/>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px14"/>
    <w:qFormat/>
    <w:uiPriority w:val="0"/>
    <w:rPr>
      <w:rFonts w:ascii="仿宋_GB2312" w:eastAsia="微软雅黑" w:cs="Times New Roman"/>
      <w:b/>
      <w:kern w:val="2"/>
      <w:sz w:val="32"/>
      <w:szCs w:val="32"/>
      <w:lang w:val="en-US" w:eastAsia="zh-CN" w:bidi="ar-SA"/>
    </w:rPr>
  </w:style>
  <w:style w:type="character" w:customStyle="1" w:styleId="208">
    <w:name w:val="标题 7 Char"/>
    <w:link w:val="10"/>
    <w:qFormat/>
    <w:uiPriority w:val="0"/>
    <w:rPr>
      <w:b/>
      <w:bCs/>
      <w:kern w:val="2"/>
      <w:sz w:val="24"/>
      <w:szCs w:val="24"/>
    </w:rPr>
  </w:style>
  <w:style w:type="character" w:customStyle="1" w:styleId="209">
    <w:name w:val="Normal Indent Char Char"/>
    <w:qFormat/>
    <w:uiPriority w:val="0"/>
    <w:rPr>
      <w:rFonts w:eastAsia="宋体"/>
      <w:kern w:val="2"/>
      <w:sz w:val="21"/>
      <w:lang w:val="en-US" w:eastAsia="zh-CN" w:bidi="ar-SA"/>
    </w:rPr>
  </w:style>
  <w:style w:type="character" w:customStyle="1" w:styleId="210">
    <w:name w:val="f141"/>
    <w:qFormat/>
    <w:uiPriority w:val="0"/>
    <w:rPr>
      <w:rFonts w:ascii="Tahoma" w:hAnsi="Tahoma" w:eastAsia="宋体"/>
      <w:b/>
      <w:kern w:val="2"/>
      <w:sz w:val="21"/>
      <w:szCs w:val="21"/>
      <w:lang w:val="en-US" w:eastAsia="zh-CN" w:bidi="ar-SA"/>
    </w:rPr>
  </w:style>
  <w:style w:type="character" w:customStyle="1" w:styleId="211">
    <w:name w:val="日期 Char"/>
    <w:link w:val="33"/>
    <w:qFormat/>
    <w:uiPriority w:val="0"/>
    <w:rPr>
      <w:rFonts w:ascii="宋体"/>
      <w:kern w:val="2"/>
      <w:sz w:val="24"/>
      <w:szCs w:val="21"/>
      <w:lang w:val="zh-CN"/>
    </w:rPr>
  </w:style>
  <w:style w:type="character" w:customStyle="1" w:styleId="212">
    <w:name w:val="myp1111"/>
    <w:qFormat/>
    <w:uiPriority w:val="0"/>
    <w:rPr>
      <w:rFonts w:hint="default" w:ascii="ˎ̥" w:hAnsi="ˎ̥"/>
      <w:color w:val="000000"/>
      <w:sz w:val="20"/>
      <w:szCs w:val="20"/>
      <w:u w:val="none"/>
    </w:rPr>
  </w:style>
  <w:style w:type="character" w:customStyle="1" w:styleId="213">
    <w:name w:val="称呼 Char"/>
    <w:link w:val="22"/>
    <w:qFormat/>
    <w:uiPriority w:val="0"/>
    <w:rPr>
      <w:rFonts w:ascii="仿宋_GB2312" w:eastAsia="仿宋_GB2312"/>
      <w:kern w:val="2"/>
      <w:sz w:val="28"/>
    </w:rPr>
  </w:style>
  <w:style w:type="character" w:customStyle="1" w:styleId="214">
    <w:name w:val="标题 4 Char"/>
    <w:link w:val="7"/>
    <w:qFormat/>
    <w:uiPriority w:val="0"/>
    <w:rPr>
      <w:rFonts w:ascii="Arial" w:hAnsi="Arial" w:eastAsia="黑体"/>
      <w:b/>
      <w:bCs/>
      <w:kern w:val="2"/>
      <w:sz w:val="28"/>
      <w:szCs w:val="28"/>
      <w:lang w:val="zh-CN"/>
    </w:rPr>
  </w:style>
  <w:style w:type="character" w:customStyle="1" w:styleId="215">
    <w:name w:val="标书1 Char"/>
    <w:qFormat/>
    <w:uiPriority w:val="0"/>
    <w:rPr>
      <w:rFonts w:eastAsia="宋体"/>
      <w:b/>
      <w:bCs/>
      <w:kern w:val="44"/>
      <w:sz w:val="44"/>
      <w:szCs w:val="44"/>
      <w:lang w:val="en-US" w:eastAsia="zh-CN" w:bidi="ar-SA"/>
    </w:rPr>
  </w:style>
  <w:style w:type="character" w:customStyle="1" w:styleId="216">
    <w:name w:val="链接"/>
    <w:qFormat/>
    <w:uiPriority w:val="0"/>
    <w:rPr>
      <w:color w:val="0000FF"/>
      <w:sz w:val="21"/>
      <w:szCs w:val="21"/>
      <w:u w:val="single"/>
    </w:rPr>
  </w:style>
  <w:style w:type="character" w:customStyle="1" w:styleId="217">
    <w:name w:val="正文首行缩进 Char Char Char Char Char Char"/>
    <w:qFormat/>
    <w:uiPriority w:val="0"/>
    <w:rPr>
      <w:rFonts w:ascii="宋体" w:eastAsia="宋体"/>
      <w:kern w:val="2"/>
      <w:sz w:val="24"/>
      <w:lang w:val="zh-CN" w:bidi="ar-SA"/>
    </w:rPr>
  </w:style>
  <w:style w:type="character" w:customStyle="1" w:styleId="218">
    <w:name w:val="正文2 Char Char"/>
    <w:link w:val="219"/>
    <w:qFormat/>
    <w:uiPriority w:val="0"/>
    <w:rPr>
      <w:rFonts w:eastAsia="宋体"/>
      <w:kern w:val="2"/>
      <w:sz w:val="24"/>
      <w:lang w:val="en-US" w:eastAsia="zh-CN" w:bidi="ar-SA"/>
    </w:rPr>
  </w:style>
  <w:style w:type="paragraph" w:customStyle="1" w:styleId="219">
    <w:name w:val="正文2"/>
    <w:basedOn w:val="1"/>
    <w:link w:val="218"/>
    <w:qFormat/>
    <w:uiPriority w:val="0"/>
    <w:pPr>
      <w:spacing w:before="156" w:line="360" w:lineRule="auto"/>
      <w:ind w:firstLine="510" w:firstLineChars="200"/>
    </w:pPr>
    <w:rPr>
      <w:sz w:val="24"/>
      <w:szCs w:val="20"/>
    </w:rPr>
  </w:style>
  <w:style w:type="character" w:customStyle="1" w:styleId="220">
    <w:name w:val="tw4winError"/>
    <w:qFormat/>
    <w:uiPriority w:val="0"/>
    <w:rPr>
      <w:rFonts w:ascii="Courier New" w:hAnsi="Courier New" w:cs="Courier New"/>
      <w:color w:val="00FF00"/>
      <w:sz w:val="40"/>
      <w:szCs w:val="40"/>
    </w:rPr>
  </w:style>
  <w:style w:type="character" w:customStyle="1" w:styleId="221">
    <w:name w:val="正文1 Char1"/>
    <w:qFormat/>
    <w:uiPriority w:val="0"/>
    <w:rPr>
      <w:rFonts w:ascii="仿宋_GB2312" w:hAnsi="Courier New" w:eastAsia="仿宋_GB2312"/>
      <w:kern w:val="28"/>
      <w:sz w:val="24"/>
      <w:szCs w:val="24"/>
      <w:lang w:val="en-US" w:eastAsia="zh-CN"/>
    </w:rPr>
  </w:style>
  <w:style w:type="character" w:customStyle="1" w:styleId="222">
    <w:name w:val="Used by Word for text of Help footnotes Char Char"/>
    <w:semiHidden/>
    <w:qFormat/>
    <w:uiPriority w:val="0"/>
    <w:rPr>
      <w:rFonts w:ascii="Times New Roman" w:hAnsi="Times New Roman" w:eastAsia="宋体" w:cs="Times New Roman"/>
      <w:sz w:val="20"/>
      <w:szCs w:val="20"/>
    </w:rPr>
  </w:style>
  <w:style w:type="character" w:customStyle="1" w:styleId="223">
    <w:name w:val="c7 style3"/>
    <w:qFormat/>
    <w:uiPriority w:val="0"/>
  </w:style>
  <w:style w:type="character" w:customStyle="1" w:styleId="224">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225">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26">
    <w:name w:val="表正文 Char"/>
    <w:qFormat/>
    <w:uiPriority w:val="0"/>
    <w:rPr>
      <w:rFonts w:ascii="宋体" w:eastAsia="宋体"/>
      <w:snapToGrid w:val="0"/>
      <w:color w:val="000000"/>
      <w:kern w:val="28"/>
      <w:sz w:val="28"/>
      <w:lang w:val="en-US" w:eastAsia="zh-CN" w:bidi="ar-SA"/>
    </w:rPr>
  </w:style>
  <w:style w:type="character" w:customStyle="1" w:styleId="227">
    <w:name w:val="普通文字 Char1 Char"/>
    <w:qFormat/>
    <w:uiPriority w:val="0"/>
    <w:rPr>
      <w:rFonts w:ascii="宋体" w:hAnsi="Courier New" w:eastAsia="宋体"/>
      <w:kern w:val="2"/>
      <w:sz w:val="21"/>
      <w:szCs w:val="24"/>
      <w:lang w:val="en-US" w:eastAsia="zh-CN" w:bidi="ar-SA"/>
    </w:rPr>
  </w:style>
  <w:style w:type="character" w:customStyle="1" w:styleId="228">
    <w:name w:val="pt9"/>
    <w:qFormat/>
    <w:uiPriority w:val="0"/>
    <w:rPr>
      <w:rFonts w:ascii="仿宋_GB2312" w:eastAsia="微软雅黑"/>
      <w:b/>
      <w:kern w:val="2"/>
      <w:sz w:val="32"/>
      <w:szCs w:val="32"/>
      <w:lang w:val="en-US" w:eastAsia="zh-CN" w:bidi="ar-SA"/>
    </w:rPr>
  </w:style>
  <w:style w:type="character" w:customStyle="1" w:styleId="229">
    <w:name w:val="表正文 Char1"/>
    <w:qFormat/>
    <w:uiPriority w:val="0"/>
    <w:rPr>
      <w:rFonts w:ascii="宋体" w:eastAsia="宋体"/>
      <w:snapToGrid w:val="0"/>
      <w:color w:val="000000"/>
      <w:kern w:val="28"/>
      <w:sz w:val="28"/>
    </w:rPr>
  </w:style>
  <w:style w:type="character" w:customStyle="1" w:styleId="230">
    <w:name w:val="正文非缩进 Char"/>
    <w:qFormat/>
    <w:uiPriority w:val="0"/>
    <w:rPr>
      <w:rFonts w:ascii="宋体" w:eastAsia="宋体"/>
      <w:snapToGrid w:val="0"/>
      <w:color w:val="000000"/>
      <w:kern w:val="28"/>
      <w:sz w:val="28"/>
      <w:lang w:val="en-US" w:eastAsia="zh-CN" w:bidi="ar-SA"/>
    </w:rPr>
  </w:style>
  <w:style w:type="character" w:customStyle="1" w:styleId="231">
    <w:name w:val="冯广丽 Char"/>
    <w:link w:val="232"/>
    <w:qFormat/>
    <w:uiPriority w:val="0"/>
    <w:rPr>
      <w:rFonts w:ascii="宋体" w:hAnsi="宋体"/>
      <w:kern w:val="2"/>
      <w:sz w:val="24"/>
      <w:szCs w:val="22"/>
    </w:rPr>
  </w:style>
  <w:style w:type="paragraph" w:customStyle="1" w:styleId="232">
    <w:name w:val="冯广丽"/>
    <w:basedOn w:val="1"/>
    <w:link w:val="231"/>
    <w:qFormat/>
    <w:uiPriority w:val="0"/>
    <w:pPr>
      <w:adjustRightInd/>
      <w:spacing w:line="360" w:lineRule="auto"/>
      <w:ind w:firstLine="480" w:firstLineChars="200"/>
    </w:pPr>
    <w:rPr>
      <w:rFonts w:ascii="宋体" w:hAnsi="宋体"/>
      <w:sz w:val="24"/>
      <w:szCs w:val="22"/>
    </w:rPr>
  </w:style>
  <w:style w:type="character" w:customStyle="1" w:styleId="233">
    <w:name w:val="large1"/>
    <w:qFormat/>
    <w:uiPriority w:val="0"/>
    <w:rPr>
      <w:rFonts w:hint="eastAsia" w:ascii="宋体" w:hAnsi="宋体" w:eastAsia="宋体"/>
      <w:sz w:val="21"/>
      <w:szCs w:val="21"/>
    </w:rPr>
  </w:style>
  <w:style w:type="character" w:customStyle="1" w:styleId="234">
    <w:name w:val="样式 样式 标题 4h4H4Fab-4T5Ref Heading 1rh1Heading sqlsect 1.2.3.... +... Char"/>
    <w:link w:val="235"/>
    <w:qFormat/>
    <w:uiPriority w:val="0"/>
    <w:rPr>
      <w:rFonts w:ascii="微软雅黑" w:hAnsi="微软雅黑" w:eastAsia="微软雅黑"/>
      <w:b/>
      <w:bCs/>
      <w:kern w:val="2"/>
      <w:sz w:val="24"/>
      <w:szCs w:val="28"/>
    </w:rPr>
  </w:style>
  <w:style w:type="paragraph" w:customStyle="1" w:styleId="235">
    <w:name w:val="样式 样式 标题 4h4H4Fab-4T5Ref Heading 1rh1Heading sqlsect 1.2.3.... +..."/>
    <w:basedOn w:val="160"/>
    <w:link w:val="234"/>
    <w:qFormat/>
    <w:uiPriority w:val="0"/>
  </w:style>
  <w:style w:type="character" w:customStyle="1" w:styleId="236">
    <w:name w:val="标题 1 Char Char"/>
    <w:qFormat/>
    <w:uiPriority w:val="0"/>
    <w:rPr>
      <w:rFonts w:hint="eastAsia" w:ascii="宋体" w:hAnsi="宋体" w:eastAsia="宋体"/>
      <w:b/>
      <w:spacing w:val="-2"/>
      <w:sz w:val="24"/>
      <w:lang w:val="en-US" w:eastAsia="zh-CN" w:bidi="ar-SA"/>
    </w:rPr>
  </w:style>
  <w:style w:type="character" w:customStyle="1" w:styleId="237">
    <w:name w:val="标题 4 Char1"/>
    <w:semiHidden/>
    <w:qFormat/>
    <w:uiPriority w:val="9"/>
    <w:rPr>
      <w:rFonts w:ascii="Cambria" w:hAnsi="Cambria" w:eastAsia="宋体" w:cs="Times New Roman"/>
      <w:b/>
      <w:bCs/>
      <w:kern w:val="2"/>
      <w:sz w:val="28"/>
      <w:szCs w:val="28"/>
    </w:rPr>
  </w:style>
  <w:style w:type="character" w:customStyle="1" w:styleId="238">
    <w:name w:val="脚注文本 Char"/>
    <w:link w:val="48"/>
    <w:qFormat/>
    <w:uiPriority w:val="0"/>
    <w:rPr>
      <w:color w:val="0000FF"/>
      <w:sz w:val="21"/>
    </w:rPr>
  </w:style>
  <w:style w:type="character" w:customStyle="1" w:styleId="239">
    <w:name w:val="zbggmain style9"/>
    <w:qFormat/>
    <w:uiPriority w:val="0"/>
  </w:style>
  <w:style w:type="character" w:customStyle="1" w:styleId="240">
    <w:name w:val="tw4winMark"/>
    <w:qFormat/>
    <w:uiPriority w:val="0"/>
    <w:rPr>
      <w:rFonts w:ascii="Courier New" w:hAnsi="Courier New" w:cs="Courier New"/>
      <w:vanish/>
      <w:color w:val="800080"/>
      <w:sz w:val="24"/>
      <w:szCs w:val="24"/>
      <w:vertAlign w:val="subscript"/>
    </w:rPr>
  </w:style>
  <w:style w:type="character" w:customStyle="1" w:styleId="241">
    <w:name w:val="tw4winPopup"/>
    <w:qFormat/>
    <w:uiPriority w:val="0"/>
    <w:rPr>
      <w:rFonts w:ascii="Courier New" w:hAnsi="Courier New" w:cs="Courier New"/>
      <w:color w:val="008000"/>
      <w:lang w:val="en-US" w:eastAsia="zh-CN"/>
    </w:rPr>
  </w:style>
  <w:style w:type="character" w:customStyle="1" w:styleId="242">
    <w:name w:val="标题 6 Char"/>
    <w:link w:val="9"/>
    <w:qFormat/>
    <w:uiPriority w:val="0"/>
    <w:rPr>
      <w:rFonts w:ascii="Arial" w:hAnsi="Arial" w:eastAsia="黑体"/>
      <w:b/>
      <w:bCs/>
      <w:kern w:val="2"/>
      <w:sz w:val="24"/>
      <w:szCs w:val="24"/>
    </w:rPr>
  </w:style>
  <w:style w:type="character" w:customStyle="1" w:styleId="243">
    <w:name w:val="样式 宋体"/>
    <w:qFormat/>
    <w:uiPriority w:val="0"/>
    <w:rPr>
      <w:rFonts w:ascii="宋体" w:hAnsi="宋体"/>
      <w:sz w:val="24"/>
    </w:rPr>
  </w:style>
  <w:style w:type="character" w:customStyle="1" w:styleId="244">
    <w:name w:val="正文缩进 Char2"/>
    <w:link w:val="17"/>
    <w:qFormat/>
    <w:uiPriority w:val="0"/>
    <w:rPr>
      <w:rFonts w:ascii="宋体" w:eastAsia="宋体"/>
      <w:snapToGrid w:val="0"/>
      <w:color w:val="000000"/>
      <w:kern w:val="28"/>
      <w:sz w:val="28"/>
      <w:lang w:val="en-US" w:eastAsia="zh-CN" w:bidi="ar-SA"/>
    </w:rPr>
  </w:style>
  <w:style w:type="character" w:customStyle="1" w:styleId="245">
    <w:name w:val="标题 Char"/>
    <w:qFormat/>
    <w:uiPriority w:val="0"/>
    <w:rPr>
      <w:rFonts w:eastAsia="宋体"/>
      <w:b/>
      <w:sz w:val="24"/>
      <w:lang w:val="en-GB" w:eastAsia="zh-CN" w:bidi="ar-SA"/>
    </w:rPr>
  </w:style>
  <w:style w:type="character" w:customStyle="1" w:styleId="246">
    <w:name w:val="正文首行缩进 2 Char"/>
    <w:link w:val="60"/>
    <w:qFormat/>
    <w:uiPriority w:val="0"/>
    <w:rPr>
      <w:rFonts w:ascii="宋体" w:hAnsi="宋体"/>
      <w:kern w:val="2"/>
      <w:sz w:val="21"/>
      <w:szCs w:val="24"/>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批注文字 Char1"/>
    <w:link w:val="21"/>
    <w:qFormat/>
    <w:uiPriority w:val="0"/>
    <w:rPr>
      <w:kern w:val="2"/>
      <w:sz w:val="21"/>
      <w:szCs w:val="24"/>
    </w:rPr>
  </w:style>
  <w:style w:type="character" w:customStyle="1" w:styleId="249">
    <w:name w:val="批注框文本 Char"/>
    <w:link w:val="37"/>
    <w:semiHidden/>
    <w:qFormat/>
    <w:uiPriority w:val="0"/>
    <w:rPr>
      <w:kern w:val="2"/>
      <w:sz w:val="18"/>
      <w:szCs w:val="18"/>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Footer Char"/>
    <w:qFormat/>
    <w:locked/>
    <w:uiPriority w:val="0"/>
    <w:rPr>
      <w:rFonts w:eastAsia="宋体"/>
      <w:kern w:val="2"/>
      <w:sz w:val="18"/>
      <w:lang w:val="en-US" w:eastAsia="zh-CN" w:bidi="ar-SA"/>
    </w:rPr>
  </w:style>
  <w:style w:type="character" w:customStyle="1" w:styleId="252">
    <w:name w:val="Char Char41"/>
    <w:qFormat/>
    <w:uiPriority w:val="0"/>
    <w:rPr>
      <w:rFonts w:eastAsia="宋体"/>
      <w:b/>
      <w:sz w:val="24"/>
      <w:lang w:val="en-GB" w:eastAsia="zh-CN" w:bidi="ar-SA"/>
    </w:rPr>
  </w:style>
  <w:style w:type="character" w:customStyle="1" w:styleId="253">
    <w:name w:val="Char Char91"/>
    <w:qFormat/>
    <w:uiPriority w:val="0"/>
    <w:rPr>
      <w:rFonts w:eastAsia="宋体"/>
      <w:kern w:val="2"/>
      <w:sz w:val="18"/>
      <w:szCs w:val="18"/>
      <w:lang w:val="en-US" w:eastAsia="zh-CN" w:bidi="ar-SA"/>
    </w:rPr>
  </w:style>
  <w:style w:type="character" w:customStyle="1" w:styleId="254">
    <w:name w:val="列出段落 Char"/>
    <w:qFormat/>
    <w:uiPriority w:val="34"/>
    <w:rPr>
      <w:rFonts w:eastAsia="楷体_GB2312" w:cs="Lucida Sans"/>
      <w:kern w:val="2"/>
      <w:sz w:val="24"/>
      <w:szCs w:val="24"/>
      <w:lang w:val="en-US" w:eastAsia="zh-CN" w:bidi="ar-SA"/>
    </w:rPr>
  </w:style>
  <w:style w:type="character" w:customStyle="1" w:styleId="255">
    <w:name w:val="gf正文1 Char"/>
    <w:qFormat/>
    <w:uiPriority w:val="0"/>
    <w:rPr>
      <w:rFonts w:ascii="宋体" w:hAnsi="宋体" w:eastAsia="宋体" w:cs="宋体"/>
      <w:kern w:val="2"/>
      <w:sz w:val="24"/>
      <w:szCs w:val="24"/>
      <w:lang w:val="en-US" w:eastAsia="zh-CN" w:bidi="ar-SA"/>
    </w:rPr>
  </w:style>
  <w:style w:type="character" w:customStyle="1" w:styleId="256">
    <w:name w:val="标书表格字体格式 Char"/>
    <w:qFormat/>
    <w:uiPriority w:val="0"/>
    <w:rPr>
      <w:kern w:val="2"/>
      <w:sz w:val="21"/>
      <w:szCs w:val="24"/>
      <w:lang w:bidi="ar-SA"/>
    </w:rPr>
  </w:style>
  <w:style w:type="character" w:customStyle="1" w:styleId="257">
    <w:name w:val="样式6 Char"/>
    <w:qFormat/>
    <w:uiPriority w:val="0"/>
    <w:rPr>
      <w:rFonts w:ascii="仿宋_GB2312" w:hAnsi="宋体" w:eastAsia="仿宋_GB2312"/>
      <w:b/>
      <w:bCs/>
      <w:kern w:val="2"/>
      <w:sz w:val="24"/>
      <w:szCs w:val="24"/>
      <w:lang w:val="en-US" w:eastAsia="zh-CN" w:bidi="ar-SA"/>
    </w:rPr>
  </w:style>
  <w:style w:type="character" w:customStyle="1" w:styleId="258">
    <w:name w:val="签名 Char"/>
    <w:link w:val="40"/>
    <w:qFormat/>
    <w:uiPriority w:val="0"/>
    <w:rPr>
      <w:rFonts w:eastAsia="仿宋_GB2312"/>
      <w:sz w:val="24"/>
    </w:rPr>
  </w:style>
  <w:style w:type="character" w:customStyle="1" w:styleId="259">
    <w:name w:val="冯 Char"/>
    <w:link w:val="260"/>
    <w:qFormat/>
    <w:uiPriority w:val="0"/>
    <w:rPr>
      <w:rFonts w:ascii="宋体" w:hAnsi="宋体"/>
      <w:color w:val="000000"/>
      <w:sz w:val="24"/>
      <w:szCs w:val="24"/>
    </w:rPr>
  </w:style>
  <w:style w:type="paragraph" w:customStyle="1" w:styleId="260">
    <w:name w:val="冯"/>
    <w:basedOn w:val="1"/>
    <w:link w:val="259"/>
    <w:qFormat/>
    <w:uiPriority w:val="0"/>
    <w:pPr>
      <w:widowControl/>
      <w:adjustRightInd/>
      <w:spacing w:line="360" w:lineRule="auto"/>
      <w:ind w:firstLine="480" w:firstLineChars="200"/>
    </w:pPr>
    <w:rPr>
      <w:rFonts w:ascii="宋体" w:hAnsi="宋体"/>
      <w:color w:val="000000"/>
      <w:kern w:val="0"/>
      <w:sz w:val="24"/>
    </w:rPr>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md"/>
    <w:basedOn w:val="63"/>
    <w:qFormat/>
    <w:uiPriority w:val="0"/>
    <w:rPr>
      <w:rFonts w:ascii="Arial" w:hAnsi="Arial" w:eastAsia="黑体" w:cs="Arial"/>
      <w:snapToGrid w:val="0"/>
      <w:kern w:val="0"/>
      <w:szCs w:val="21"/>
    </w:rPr>
  </w:style>
  <w:style w:type="character" w:customStyle="1" w:styleId="263">
    <w:name w:val="样式5 Char"/>
    <w:qFormat/>
    <w:uiPriority w:val="0"/>
    <w:rPr>
      <w:rFonts w:ascii="仿宋_GB2312" w:hAnsi="仿宋" w:eastAsia="仿宋_GB2312"/>
      <w:kern w:val="2"/>
      <w:sz w:val="24"/>
      <w:szCs w:val="24"/>
    </w:rPr>
  </w:style>
  <w:style w:type="character" w:customStyle="1" w:styleId="264">
    <w:name w:val="表格 Char Char"/>
    <w:qFormat/>
    <w:uiPriority w:val="0"/>
    <w:rPr>
      <w:rFonts w:ascii="宋体" w:hAnsi="宋体" w:eastAsia="宋体"/>
      <w:lang w:bidi="ar-SA"/>
    </w:rPr>
  </w:style>
  <w:style w:type="character" w:customStyle="1" w:styleId="265">
    <w:name w:val="font12gray1"/>
    <w:qFormat/>
    <w:uiPriority w:val="0"/>
    <w:rPr>
      <w:rFonts w:ascii="仿宋_GB2312" w:eastAsia="微软雅黑"/>
      <w:b/>
      <w:spacing w:val="300"/>
      <w:kern w:val="2"/>
      <w:sz w:val="18"/>
      <w:szCs w:val="18"/>
      <w:lang w:val="en-US" w:eastAsia="zh-CN" w:bidi="ar-SA"/>
    </w:rPr>
  </w:style>
  <w:style w:type="character" w:customStyle="1" w:styleId="266">
    <w:name w:val="txt"/>
    <w:qFormat/>
    <w:uiPriority w:val="0"/>
    <w:rPr>
      <w:rFonts w:ascii="仿宋_GB2312" w:eastAsia="微软雅黑"/>
      <w:b/>
      <w:kern w:val="2"/>
      <w:sz w:val="32"/>
      <w:szCs w:val="32"/>
      <w:lang w:val="en-US" w:eastAsia="zh-CN" w:bidi="ar-SA"/>
    </w:rPr>
  </w:style>
  <w:style w:type="character" w:customStyle="1" w:styleId="267">
    <w:name w:val="tw4winJump"/>
    <w:qFormat/>
    <w:uiPriority w:val="0"/>
    <w:rPr>
      <w:rFonts w:ascii="Courier New" w:hAnsi="Courier New" w:cs="Courier New"/>
      <w:color w:val="008080"/>
      <w:lang w:val="en-US" w:eastAsia="zh-CN"/>
    </w:rPr>
  </w:style>
  <w:style w:type="character" w:customStyle="1" w:styleId="268">
    <w:name w:val="Item List Char"/>
    <w:link w:val="269"/>
    <w:qFormat/>
    <w:uiPriority w:val="0"/>
    <w:rPr>
      <w:rFonts w:ascii="Arial"/>
      <w:bCs/>
      <w:sz w:val="21"/>
      <w:szCs w:val="21"/>
      <w:lang w:val="en-US" w:eastAsia="zh-CN" w:bidi="ar-SA"/>
    </w:rPr>
  </w:style>
  <w:style w:type="paragraph" w:customStyle="1" w:styleId="269">
    <w:name w:val="Item List"/>
    <w:link w:val="26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70">
    <w:name w:val="Char Char121"/>
    <w:qFormat/>
    <w:uiPriority w:val="0"/>
    <w:rPr>
      <w:rFonts w:ascii="仿宋_GB2312" w:eastAsia="仿宋_GB2312"/>
      <w:b/>
      <w:bCs/>
      <w:kern w:val="2"/>
      <w:sz w:val="24"/>
      <w:szCs w:val="24"/>
      <w:lang w:val="zh-CN" w:eastAsia="zh-CN" w:bidi="ar-SA"/>
    </w:rPr>
  </w:style>
  <w:style w:type="paragraph" w:customStyle="1" w:styleId="27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273">
    <w:name w:val="4"/>
    <w:basedOn w:val="1"/>
    <w:next w:val="36"/>
    <w:qFormat/>
    <w:uiPriority w:val="0"/>
    <w:pPr>
      <w:spacing w:after="120" w:line="480" w:lineRule="auto"/>
      <w:ind w:left="420" w:leftChars="200"/>
    </w:pPr>
    <w:rPr>
      <w:sz w:val="24"/>
      <w:szCs w:val="20"/>
    </w:rPr>
  </w:style>
  <w:style w:type="paragraph" w:customStyle="1" w:styleId="274">
    <w:name w:val="Char Char1"/>
    <w:basedOn w:val="1"/>
    <w:qFormat/>
    <w:uiPriority w:val="0"/>
    <w:pPr>
      <w:widowControl/>
      <w:spacing w:after="160" w:line="240" w:lineRule="exact"/>
      <w:jc w:val="left"/>
    </w:pPr>
    <w:rPr>
      <w:rFonts w:eastAsia="仿宋_GB2312"/>
      <w:sz w:val="28"/>
    </w:rPr>
  </w:style>
  <w:style w:type="paragraph" w:customStyle="1" w:styleId="27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6">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77">
    <w:name w:val="默认段落样式"/>
    <w:basedOn w:val="219"/>
    <w:qFormat/>
    <w:uiPriority w:val="0"/>
    <w:pPr>
      <w:spacing w:before="0"/>
      <w:ind w:firstLine="480"/>
      <w:outlineLvl w:val="2"/>
    </w:pPr>
    <w:rPr>
      <w:rFonts w:ascii="仿宋_GB2312" w:hAnsi="宋体" w:eastAsia="仿宋_GB2312"/>
      <w:color w:val="000000"/>
      <w:szCs w:val="24"/>
    </w:rPr>
  </w:style>
  <w:style w:type="paragraph" w:customStyle="1" w:styleId="278">
    <w:name w:val="Char Char1 Char Char Char Char Char Char"/>
    <w:basedOn w:val="1"/>
    <w:qFormat/>
    <w:uiPriority w:val="0"/>
    <w:rPr>
      <w:rFonts w:ascii="仿宋_GB2312" w:eastAsia="仿宋_GB2312"/>
      <w:b/>
      <w:sz w:val="32"/>
      <w:szCs w:val="20"/>
    </w:rPr>
  </w:style>
  <w:style w:type="paragraph" w:customStyle="1" w:styleId="27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80">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81">
    <w:name w:val="文本正文 Char"/>
    <w:basedOn w:val="1"/>
    <w:qFormat/>
    <w:uiPriority w:val="0"/>
    <w:pPr>
      <w:spacing w:line="360" w:lineRule="auto"/>
      <w:ind w:firstLine="200" w:firstLineChars="200"/>
    </w:pPr>
    <w:rPr>
      <w:kern w:val="0"/>
      <w:sz w:val="24"/>
      <w:szCs w:val="20"/>
    </w:rPr>
  </w:style>
  <w:style w:type="paragraph" w:customStyle="1" w:styleId="282">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文章标题"/>
    <w:next w:val="285"/>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85">
    <w:name w:val="封面公司名"/>
    <w:qFormat/>
    <w:uiPriority w:val="0"/>
    <w:pPr>
      <w:jc w:val="center"/>
    </w:pPr>
    <w:rPr>
      <w:rFonts w:ascii="Arial" w:hAnsi="Arial" w:eastAsia="楷体_GB2312" w:cs="宋体"/>
      <w:bCs/>
      <w:kern w:val="2"/>
      <w:sz w:val="28"/>
      <w:lang w:val="en-US" w:eastAsia="zh-CN" w:bidi="ar-SA"/>
    </w:rPr>
  </w:style>
  <w:style w:type="paragraph" w:customStyle="1" w:styleId="286">
    <w:name w:val="Bulleting First Indent 1"/>
    <w:basedOn w:val="59"/>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7">
    <w:name w:val="默认段落字体 Para Char Char Char Char Char Char Char"/>
    <w:basedOn w:val="1"/>
    <w:qFormat/>
    <w:uiPriority w:val="0"/>
    <w:rPr>
      <w:rFonts w:eastAsia="仿宋_GB2312"/>
      <w:sz w:val="28"/>
      <w:szCs w:val="20"/>
    </w:rPr>
  </w:style>
  <w:style w:type="paragraph" w:customStyle="1" w:styleId="28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89">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290">
    <w:name w:val="trademark"/>
    <w:qFormat/>
    <w:uiPriority w:val="0"/>
    <w:pPr>
      <w:spacing w:after="60"/>
    </w:pPr>
    <w:rPr>
      <w:rFonts w:ascii="Futura Bk" w:hAnsi="Futura Bk" w:eastAsia="宋体" w:cs="Times New Roman"/>
      <w:sz w:val="15"/>
      <w:lang w:val="en-US" w:eastAsia="en-US" w:bidi="ar-SA"/>
    </w:rPr>
  </w:style>
  <w:style w:type="paragraph" w:customStyle="1" w:styleId="29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默认段落字体 Para Char"/>
    <w:basedOn w:val="1"/>
    <w:qFormat/>
    <w:uiPriority w:val="0"/>
    <w:rPr>
      <w:rFonts w:ascii="Tahoma" w:hAnsi="Tahoma"/>
      <w:sz w:val="24"/>
      <w:szCs w:val="20"/>
    </w:rPr>
  </w:style>
  <w:style w:type="paragraph" w:customStyle="1" w:styleId="29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5">
    <w:name w:val="Char Char Char Char Char Char Char Char Char Char Char Char1 Char"/>
    <w:basedOn w:val="1"/>
    <w:qFormat/>
    <w:uiPriority w:val="0"/>
    <w:rPr>
      <w:rFonts w:ascii="Tahoma" w:hAnsi="Tahoma" w:cs="仿宋_GB2312"/>
      <w:sz w:val="24"/>
      <w:szCs w:val="20"/>
    </w:rPr>
  </w:style>
  <w:style w:type="paragraph" w:customStyle="1" w:styleId="29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2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9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00">
    <w:name w:val="Char Char11 Char Char Char Char Char Char Char Char Char"/>
    <w:basedOn w:val="1"/>
    <w:qFormat/>
    <w:uiPriority w:val="0"/>
    <w:pPr>
      <w:spacing w:line="360" w:lineRule="auto"/>
    </w:pPr>
    <w:rPr>
      <w:szCs w:val="20"/>
    </w:rPr>
  </w:style>
  <w:style w:type="paragraph" w:customStyle="1" w:styleId="30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2">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3">
    <w:name w:val="左对齐表格文字"/>
    <w:basedOn w:val="1"/>
    <w:qFormat/>
    <w:uiPriority w:val="0"/>
    <w:pPr>
      <w:adjustRightInd/>
      <w:ind w:firstLine="200" w:firstLineChars="200"/>
      <w:jc w:val="right"/>
    </w:pPr>
  </w:style>
  <w:style w:type="paragraph" w:customStyle="1" w:styleId="304">
    <w:name w:val="Char31"/>
    <w:basedOn w:val="1"/>
    <w:qFormat/>
    <w:uiPriority w:val="0"/>
    <w:pPr>
      <w:adjustRightInd/>
      <w:ind w:firstLine="200" w:firstLineChars="200"/>
    </w:pPr>
    <w:rPr>
      <w:rFonts w:ascii="Tahoma" w:hAnsi="Tahoma"/>
      <w:sz w:val="24"/>
      <w:szCs w:val="20"/>
    </w:rPr>
  </w:style>
  <w:style w:type="paragraph" w:customStyle="1" w:styleId="30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0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08">
    <w:name w:val="彩色列表 - 强调文字颜色 11"/>
    <w:basedOn w:val="1"/>
    <w:qFormat/>
    <w:uiPriority w:val="0"/>
    <w:pPr>
      <w:adjustRightInd/>
      <w:ind w:firstLine="420" w:firstLineChars="200"/>
    </w:pPr>
    <w:rPr>
      <w:rFonts w:ascii="Calibri" w:hAnsi="Calibri"/>
      <w:szCs w:val="22"/>
    </w:rPr>
  </w:style>
  <w:style w:type="paragraph" w:customStyle="1" w:styleId="30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10">
    <w:name w:val="MM Topic 3"/>
    <w:basedOn w:val="6"/>
    <w:qFormat/>
    <w:uiPriority w:val="0"/>
    <w:pPr>
      <w:numPr>
        <w:numId w:val="4"/>
      </w:numPr>
      <w:tabs>
        <w:tab w:val="left" w:pos="840"/>
        <w:tab w:val="left" w:pos="1680"/>
      </w:tabs>
      <w:adjustRightInd/>
    </w:pPr>
  </w:style>
  <w:style w:type="paragraph" w:customStyle="1" w:styleId="311">
    <w:name w:val="Normal0"/>
    <w:qFormat/>
    <w:uiPriority w:val="0"/>
    <w:rPr>
      <w:rFonts w:ascii="Times New Roman" w:hAnsi="Times New Roman" w:eastAsia="宋体" w:cs="Times New Roman"/>
      <w:lang w:val="en-US" w:eastAsia="en-US" w:bidi="ar-SA"/>
    </w:rPr>
  </w:style>
  <w:style w:type="paragraph" w:customStyle="1" w:styleId="312">
    <w:name w:val="Char Char Char Char Char Char Char"/>
    <w:basedOn w:val="1"/>
    <w:qFormat/>
    <w:uiPriority w:val="0"/>
    <w:rPr>
      <w:rFonts w:ascii="仿宋_GB2312" w:eastAsia="仿宋_GB2312"/>
      <w:b/>
      <w:sz w:val="32"/>
      <w:szCs w:val="32"/>
    </w:rPr>
  </w:style>
  <w:style w:type="paragraph" w:customStyle="1" w:styleId="31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6">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1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19">
    <w:name w:val="Char2"/>
    <w:basedOn w:val="1"/>
    <w:qFormat/>
    <w:uiPriority w:val="0"/>
    <w:rPr>
      <w:rFonts w:ascii="仿宋_GB2312" w:eastAsia="仿宋_GB2312"/>
      <w:b/>
      <w:sz w:val="32"/>
      <w:szCs w:val="32"/>
    </w:rPr>
  </w:style>
  <w:style w:type="paragraph" w:customStyle="1" w:styleId="320">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2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2">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32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6">
    <w:name w:val="Char Char Char"/>
    <w:basedOn w:val="1"/>
    <w:qFormat/>
    <w:uiPriority w:val="0"/>
    <w:rPr>
      <w:rFonts w:ascii="Tahoma" w:hAnsi="Tahoma"/>
      <w:sz w:val="24"/>
      <w:szCs w:val="20"/>
    </w:rPr>
  </w:style>
  <w:style w:type="paragraph" w:customStyle="1" w:styleId="327">
    <w:name w:val="MM Topic 4"/>
    <w:basedOn w:val="7"/>
    <w:qFormat/>
    <w:uiPriority w:val="0"/>
    <w:pPr>
      <w:numPr>
        <w:numId w:val="4"/>
      </w:numPr>
      <w:tabs>
        <w:tab w:val="left" w:pos="840"/>
        <w:tab w:val="left" w:pos="2100"/>
        <w:tab w:val="clear" w:pos="864"/>
      </w:tabs>
      <w:adjustRightInd/>
    </w:pPr>
    <w:rPr>
      <w:lang w:val="en-US"/>
    </w:rPr>
  </w:style>
  <w:style w:type="paragraph" w:customStyle="1" w:styleId="328">
    <w:name w:val="标准小四"/>
    <w:basedOn w:val="1"/>
    <w:qFormat/>
    <w:uiPriority w:val="0"/>
    <w:pPr>
      <w:spacing w:line="360" w:lineRule="auto"/>
      <w:ind w:firstLine="480" w:firstLineChars="200"/>
    </w:pPr>
    <w:rPr>
      <w:rFonts w:ascii="Arial" w:hAnsi="Arial"/>
      <w:sz w:val="24"/>
      <w:szCs w:val="21"/>
    </w:rPr>
  </w:style>
  <w:style w:type="paragraph" w:customStyle="1" w:styleId="329">
    <w:name w:val="MM Topic 2"/>
    <w:basedOn w:val="5"/>
    <w:qFormat/>
    <w:uiPriority w:val="0"/>
    <w:pPr>
      <w:numPr>
        <w:ilvl w:val="1"/>
        <w:numId w:val="4"/>
      </w:numPr>
    </w:pPr>
    <w:rPr>
      <w:rFonts w:ascii="Arial" w:hAnsi="Arial" w:eastAsia="黑体"/>
      <w:lang w:val="en-US"/>
    </w:rPr>
  </w:style>
  <w:style w:type="paragraph" w:customStyle="1" w:styleId="330">
    <w:name w:val="表格标题2"/>
    <w:basedOn w:val="331"/>
    <w:qFormat/>
    <w:uiPriority w:val="0"/>
    <w:rPr>
      <w:b/>
    </w:rPr>
  </w:style>
  <w:style w:type="paragraph" w:customStyle="1" w:styleId="331">
    <w:name w:val="表格内文"/>
    <w:basedOn w:val="1"/>
    <w:qFormat/>
    <w:uiPriority w:val="0"/>
    <w:pPr>
      <w:adjustRightInd/>
      <w:spacing w:line="360" w:lineRule="auto"/>
    </w:pPr>
    <w:rPr>
      <w:rFonts w:ascii="宋体" w:hAnsi="宋体" w:cs="宋体"/>
      <w:color w:val="000000"/>
      <w:szCs w:val="20"/>
    </w:rPr>
  </w:style>
  <w:style w:type="paragraph" w:customStyle="1" w:styleId="33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4">
    <w:name w:val="Char Char11 Char Char Char Char Char Char Char Char Char1"/>
    <w:basedOn w:val="1"/>
    <w:qFormat/>
    <w:uiPriority w:val="0"/>
    <w:pPr>
      <w:spacing w:line="360" w:lineRule="auto"/>
    </w:pPr>
    <w:rPr>
      <w:szCs w:val="20"/>
    </w:rPr>
  </w:style>
  <w:style w:type="paragraph" w:customStyle="1" w:styleId="335">
    <w:name w:val="Char Char Char Char Char Char Char Char Char Char Char1 Char"/>
    <w:basedOn w:val="1"/>
    <w:qFormat/>
    <w:uiPriority w:val="0"/>
    <w:pPr>
      <w:adjustRightInd/>
    </w:pPr>
    <w:rPr>
      <w:rFonts w:ascii="Tahoma" w:hAnsi="Tahoma"/>
      <w:sz w:val="24"/>
    </w:rPr>
  </w:style>
  <w:style w:type="paragraph" w:customStyle="1" w:styleId="33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7">
    <w:name w:val="a1"/>
    <w:basedOn w:val="1"/>
    <w:qFormat/>
    <w:uiPriority w:val="0"/>
    <w:pPr>
      <w:widowControl/>
      <w:spacing w:line="300" w:lineRule="atLeast"/>
      <w:jc w:val="left"/>
    </w:pPr>
    <w:rPr>
      <w:rFonts w:ascii="宋体" w:hAnsi="宋体"/>
      <w:kern w:val="0"/>
      <w:sz w:val="18"/>
      <w:szCs w:val="20"/>
    </w:rPr>
  </w:style>
  <w:style w:type="paragraph" w:customStyle="1" w:styleId="33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39">
    <w:name w:val="Char"/>
    <w:basedOn w:val="1"/>
    <w:qFormat/>
    <w:uiPriority w:val="0"/>
    <w:rPr>
      <w:rFonts w:ascii="仿宋_GB2312" w:eastAsia="仿宋_GB2312"/>
      <w:b/>
      <w:sz w:val="32"/>
      <w:szCs w:val="32"/>
    </w:rPr>
  </w:style>
  <w:style w:type="paragraph" w:customStyle="1" w:styleId="340">
    <w:name w:val="!大节"/>
    <w:basedOn w:val="5"/>
    <w:qFormat/>
    <w:uiPriority w:val="0"/>
    <w:pPr>
      <w:numPr>
        <w:numId w:val="0"/>
      </w:numPr>
      <w:spacing w:before="260" w:after="260" w:line="415" w:lineRule="auto"/>
      <w:ind w:left="420" w:hanging="420"/>
    </w:pPr>
    <w:rPr>
      <w:rFonts w:ascii="Arial" w:hAnsi="Arial" w:eastAsia="微软雅黑"/>
      <w:lang w:val="en-US"/>
    </w:rPr>
  </w:style>
  <w:style w:type="paragraph" w:customStyle="1" w:styleId="341">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2">
    <w:name w:val="TOC 标题1"/>
    <w:basedOn w:val="4"/>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3">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4">
    <w:name w:val="Char3 Char Char Char"/>
    <w:basedOn w:val="1"/>
    <w:qFormat/>
    <w:uiPriority w:val="0"/>
    <w:pPr>
      <w:widowControl/>
      <w:adjustRightInd/>
      <w:spacing w:after="160" w:line="240" w:lineRule="exact"/>
      <w:jc w:val="left"/>
    </w:pPr>
    <w:rPr>
      <w:szCs w:val="20"/>
    </w:rPr>
  </w:style>
  <w:style w:type="paragraph" w:customStyle="1" w:styleId="34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34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50">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3">
    <w:name w:val="Char Char1 Char Char1 Char Char1"/>
    <w:basedOn w:val="1"/>
    <w:qFormat/>
    <w:uiPriority w:val="0"/>
    <w:pPr>
      <w:tabs>
        <w:tab w:val="left" w:pos="840"/>
      </w:tabs>
      <w:ind w:left="840" w:hanging="420"/>
    </w:pPr>
    <w:rPr>
      <w:rFonts w:ascii="Tahoma" w:hAnsi="Tahoma"/>
      <w:sz w:val="24"/>
    </w:rPr>
  </w:style>
  <w:style w:type="paragraph" w:customStyle="1" w:styleId="35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5">
    <w:name w:val="样式 标题 2H2h2Underrubrik1prop2l2Chapter Titlesect 1.2DO NO..."/>
    <w:basedOn w:val="5"/>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6">
    <w:name w:val="默认段落字体 Para Char Char Char Char"/>
    <w:basedOn w:val="1"/>
    <w:qFormat/>
    <w:uiPriority w:val="0"/>
    <w:pPr>
      <w:spacing w:line="360" w:lineRule="auto"/>
    </w:pPr>
    <w:rPr>
      <w:szCs w:val="20"/>
    </w:rPr>
  </w:style>
  <w:style w:type="paragraph" w:customStyle="1" w:styleId="357">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5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6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1">
    <w:name w:val="正文21"/>
    <w:basedOn w:val="1"/>
    <w:qFormat/>
    <w:uiPriority w:val="0"/>
    <w:pPr>
      <w:adjustRightInd/>
      <w:spacing w:before="156" w:line="360" w:lineRule="auto"/>
      <w:ind w:firstLine="510" w:firstLineChars="200"/>
    </w:pPr>
    <w:rPr>
      <w:sz w:val="24"/>
      <w:szCs w:val="20"/>
    </w:rPr>
  </w:style>
  <w:style w:type="paragraph" w:customStyle="1" w:styleId="362">
    <w:name w:val="列出段落2"/>
    <w:basedOn w:val="1"/>
    <w:qFormat/>
    <w:uiPriority w:val="0"/>
    <w:pPr>
      <w:adjustRightInd/>
      <w:ind w:firstLine="420" w:firstLineChars="200"/>
    </w:pPr>
    <w:rPr>
      <w:rFonts w:ascii="宋体" w:hAnsi="宋体"/>
      <w:sz w:val="24"/>
    </w:rPr>
  </w:style>
  <w:style w:type="paragraph" w:customStyle="1" w:styleId="363">
    <w:name w:val="封面"/>
    <w:basedOn w:val="1"/>
    <w:qFormat/>
    <w:uiPriority w:val="0"/>
    <w:pPr>
      <w:spacing w:line="360" w:lineRule="atLeast"/>
      <w:jc w:val="right"/>
      <w:textAlignment w:val="baseline"/>
    </w:pPr>
    <w:rPr>
      <w:rFonts w:ascii="Symbol" w:hAnsi="Symbol"/>
      <w:kern w:val="0"/>
      <w:szCs w:val="20"/>
    </w:rPr>
  </w:style>
  <w:style w:type="paragraph" w:customStyle="1" w:styleId="364">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6">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67">
    <w:name w:val="Char Char1 Char Char Char Char Char Char1"/>
    <w:basedOn w:val="1"/>
    <w:qFormat/>
    <w:uiPriority w:val="0"/>
    <w:rPr>
      <w:rFonts w:ascii="仿宋_GB2312" w:eastAsia="仿宋_GB2312"/>
      <w:b/>
      <w:sz w:val="32"/>
      <w:szCs w:val="20"/>
    </w:rPr>
  </w:style>
  <w:style w:type="paragraph" w:customStyle="1" w:styleId="36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6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7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1">
    <w:name w:val="正文（首行缩进2字符）"/>
    <w:basedOn w:val="1"/>
    <w:qFormat/>
    <w:uiPriority w:val="0"/>
    <w:pPr>
      <w:adjustRightInd/>
      <w:spacing w:line="360" w:lineRule="auto"/>
      <w:ind w:firstLine="480" w:firstLineChars="200"/>
    </w:pPr>
    <w:rPr>
      <w:sz w:val="24"/>
      <w:szCs w:val="20"/>
    </w:rPr>
  </w:style>
  <w:style w:type="paragraph" w:customStyle="1" w:styleId="37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3">
    <w:name w:val="表文字"/>
    <w:qFormat/>
    <w:uiPriority w:val="0"/>
    <w:rPr>
      <w:rFonts w:ascii="宋体" w:hAnsi="Times New Roman" w:eastAsia="宋体" w:cs="Times New Roman"/>
      <w:kern w:val="2"/>
      <w:lang w:val="en-US" w:eastAsia="zh-CN" w:bidi="ar-SA"/>
    </w:rPr>
  </w:style>
  <w:style w:type="paragraph" w:customStyle="1" w:styleId="37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7">
    <w:name w:val="有符号正文"/>
    <w:basedOn w:val="1"/>
    <w:qFormat/>
    <w:uiPriority w:val="0"/>
    <w:pPr>
      <w:adjustRightInd/>
      <w:spacing w:line="400" w:lineRule="exact"/>
      <w:ind w:firstLine="200" w:firstLineChars="200"/>
    </w:pPr>
    <w:rPr>
      <w:rFonts w:ascii="Arial" w:hAnsi="Arial"/>
    </w:rPr>
  </w:style>
  <w:style w:type="paragraph" w:customStyle="1" w:styleId="378">
    <w:name w:val="数字标题5"/>
    <w:basedOn w:val="8"/>
    <w:next w:val="1"/>
    <w:qFormat/>
    <w:uiPriority w:val="0"/>
    <w:pPr>
      <w:numPr>
        <w:numId w:val="5"/>
      </w:numPr>
      <w:tabs>
        <w:tab w:val="left" w:pos="480"/>
        <w:tab w:val="left" w:pos="1080"/>
      </w:tabs>
    </w:pPr>
  </w:style>
  <w:style w:type="paragraph" w:customStyle="1" w:styleId="379">
    <w:name w:val="Char12"/>
    <w:basedOn w:val="1"/>
    <w:qFormat/>
    <w:uiPriority w:val="0"/>
    <w:rPr>
      <w:rFonts w:ascii="仿宋_GB2312" w:eastAsia="仿宋_GB2312"/>
      <w:b/>
      <w:sz w:val="32"/>
      <w:szCs w:val="32"/>
    </w:rPr>
  </w:style>
  <w:style w:type="paragraph" w:customStyle="1" w:styleId="38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381">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382">
    <w:name w:val="加粗正文"/>
    <w:basedOn w:val="1"/>
    <w:qFormat/>
    <w:uiPriority w:val="0"/>
    <w:pPr>
      <w:adjustRightInd/>
      <w:spacing w:beforeLines="50" w:afterLines="50" w:line="360" w:lineRule="auto"/>
      <w:ind w:firstLine="422" w:firstLineChars="200"/>
    </w:pPr>
    <w:rPr>
      <w:b/>
      <w:bCs/>
      <w:szCs w:val="21"/>
    </w:rPr>
  </w:style>
  <w:style w:type="paragraph" w:customStyle="1" w:styleId="383">
    <w:name w:val="Char Char11 Char Char Char"/>
    <w:basedOn w:val="1"/>
    <w:qFormat/>
    <w:uiPriority w:val="0"/>
    <w:pPr>
      <w:spacing w:line="360" w:lineRule="auto"/>
    </w:pPr>
    <w:rPr>
      <w:szCs w:val="20"/>
    </w:rPr>
  </w:style>
  <w:style w:type="paragraph" w:customStyle="1" w:styleId="38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5">
    <w:name w:val="Char Char111"/>
    <w:basedOn w:val="1"/>
    <w:qFormat/>
    <w:uiPriority w:val="0"/>
    <w:pPr>
      <w:spacing w:line="360" w:lineRule="auto"/>
    </w:pPr>
    <w:rPr>
      <w:szCs w:val="20"/>
    </w:rPr>
  </w:style>
  <w:style w:type="paragraph" w:customStyle="1" w:styleId="386">
    <w:name w:val="文档正文"/>
    <w:basedOn w:val="1"/>
    <w:qFormat/>
    <w:uiPriority w:val="0"/>
    <w:pPr>
      <w:spacing w:line="480" w:lineRule="atLeast"/>
      <w:ind w:firstLine="567"/>
      <w:textAlignment w:val="baseline"/>
    </w:pPr>
    <w:rPr>
      <w:kern w:val="0"/>
      <w:sz w:val="24"/>
      <w:szCs w:val="20"/>
    </w:rPr>
  </w:style>
  <w:style w:type="paragraph" w:customStyle="1" w:styleId="38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8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89">
    <w:name w:val="Char1 Char Char Char3"/>
    <w:basedOn w:val="1"/>
    <w:qFormat/>
    <w:uiPriority w:val="0"/>
    <w:pPr>
      <w:adjustRightInd/>
      <w:ind w:firstLine="200" w:firstLineChars="200"/>
    </w:pPr>
    <w:rPr>
      <w:rFonts w:ascii="Tahoma" w:hAnsi="Tahoma"/>
      <w:sz w:val="24"/>
      <w:szCs w:val="20"/>
    </w:rPr>
  </w:style>
  <w:style w:type="paragraph" w:customStyle="1" w:styleId="39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2">
    <w:name w:val="Char2 Char Char Char"/>
    <w:basedOn w:val="1"/>
    <w:qFormat/>
    <w:uiPriority w:val="0"/>
    <w:rPr>
      <w:rFonts w:ascii="仿宋_GB2312" w:eastAsia="仿宋_GB2312"/>
      <w:b/>
      <w:sz w:val="32"/>
      <w:szCs w:val="32"/>
    </w:rPr>
  </w:style>
  <w:style w:type="paragraph" w:customStyle="1" w:styleId="39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4">
    <w:name w:val="MM Topic 5"/>
    <w:basedOn w:val="8"/>
    <w:qFormat/>
    <w:uiPriority w:val="0"/>
    <w:pPr>
      <w:numPr>
        <w:numId w:val="4"/>
      </w:numPr>
      <w:tabs>
        <w:tab w:val="left" w:pos="840"/>
        <w:tab w:val="left" w:pos="2520"/>
      </w:tabs>
      <w:adjustRightInd/>
    </w:pPr>
  </w:style>
  <w:style w:type="paragraph" w:customStyle="1" w:styleId="39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398">
    <w:name w:val="Char1 Char Char Char2"/>
    <w:basedOn w:val="1"/>
    <w:qFormat/>
    <w:uiPriority w:val="0"/>
    <w:pPr>
      <w:adjustRightInd/>
      <w:ind w:firstLine="200" w:firstLineChars="200"/>
    </w:pPr>
    <w:rPr>
      <w:rFonts w:ascii="Tahoma" w:hAnsi="Tahoma"/>
      <w:sz w:val="24"/>
      <w:szCs w:val="20"/>
    </w:rPr>
  </w:style>
  <w:style w:type="paragraph" w:customStyle="1" w:styleId="399">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400">
    <w:name w:val="Char1 Char Char Char"/>
    <w:basedOn w:val="1"/>
    <w:qFormat/>
    <w:uiPriority w:val="0"/>
    <w:rPr>
      <w:rFonts w:ascii="Tahoma" w:hAnsi="Tahoma"/>
      <w:sz w:val="24"/>
      <w:szCs w:val="20"/>
    </w:rPr>
  </w:style>
  <w:style w:type="paragraph" w:customStyle="1" w:styleId="40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403">
    <w:name w:val="Char Char Char Char Char Char Char1"/>
    <w:basedOn w:val="1"/>
    <w:qFormat/>
    <w:uiPriority w:val="0"/>
    <w:rPr>
      <w:rFonts w:ascii="仿宋_GB2312" w:eastAsia="仿宋_GB2312"/>
      <w:b/>
      <w:sz w:val="32"/>
      <w:szCs w:val="32"/>
    </w:rPr>
  </w:style>
  <w:style w:type="paragraph" w:customStyle="1" w:styleId="404">
    <w:name w:val="Char2 Char Char Char1"/>
    <w:basedOn w:val="1"/>
    <w:qFormat/>
    <w:uiPriority w:val="0"/>
    <w:rPr>
      <w:rFonts w:ascii="仿宋_GB2312" w:eastAsia="仿宋_GB2312"/>
      <w:b/>
      <w:sz w:val="32"/>
      <w:szCs w:val="32"/>
    </w:rPr>
  </w:style>
  <w:style w:type="paragraph" w:customStyle="1" w:styleId="40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06">
    <w:name w:val="0"/>
    <w:basedOn w:val="1"/>
    <w:qFormat/>
    <w:uiPriority w:val="0"/>
    <w:pPr>
      <w:widowControl/>
    </w:pPr>
    <w:rPr>
      <w:kern w:val="0"/>
      <w:sz w:val="24"/>
      <w:szCs w:val="20"/>
    </w:rPr>
  </w:style>
  <w:style w:type="paragraph" w:customStyle="1" w:styleId="407">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0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0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0">
    <w:name w:val="默认段落字体 Para Char Char Char1 Char"/>
    <w:basedOn w:val="1"/>
    <w:qFormat/>
    <w:uiPriority w:val="0"/>
    <w:pPr>
      <w:spacing w:line="240" w:lineRule="atLeast"/>
      <w:ind w:left="420" w:firstLine="420"/>
    </w:pPr>
    <w:rPr>
      <w:sz w:val="24"/>
    </w:rPr>
  </w:style>
  <w:style w:type="paragraph" w:customStyle="1" w:styleId="411">
    <w:name w:val="样式 正文文本缩进 + 段前: 2 字符"/>
    <w:basedOn w:val="1"/>
    <w:qFormat/>
    <w:uiPriority w:val="0"/>
    <w:pPr>
      <w:adjustRightInd/>
      <w:ind w:left="420" w:leftChars="200"/>
      <w:jc w:val="left"/>
    </w:pPr>
    <w:rPr>
      <w:sz w:val="28"/>
      <w:szCs w:val="20"/>
      <w:lang w:eastAsia="zh-TW"/>
    </w:rPr>
  </w:style>
  <w:style w:type="paragraph" w:customStyle="1" w:styleId="412">
    <w:name w:val="标书标题2"/>
    <w:basedOn w:val="5"/>
    <w:qFormat/>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13">
    <w:name w:val="表格"/>
    <w:basedOn w:val="1"/>
    <w:qFormat/>
    <w:uiPriority w:val="0"/>
    <w:pPr>
      <w:snapToGrid w:val="0"/>
      <w:ind w:firstLine="42" w:firstLineChars="21"/>
    </w:pPr>
    <w:rPr>
      <w:rFonts w:ascii="宋体" w:hAnsi="宋体"/>
      <w:kern w:val="0"/>
      <w:sz w:val="20"/>
      <w:szCs w:val="20"/>
    </w:rPr>
  </w:style>
  <w:style w:type="paragraph" w:customStyle="1" w:styleId="41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5">
    <w:name w:val="样式 标题 3标题 3 Char第二层条h33Bold Headbh章标题1小标题level_3PIM 3..."/>
    <w:basedOn w:val="6"/>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6">
    <w:name w:val="数字标题6"/>
    <w:basedOn w:val="9"/>
    <w:next w:val="1"/>
    <w:qFormat/>
    <w:uiPriority w:val="0"/>
    <w:pPr>
      <w:numPr>
        <w:numId w:val="5"/>
      </w:numPr>
      <w:tabs>
        <w:tab w:val="left" w:pos="480"/>
        <w:tab w:val="left" w:pos="1080"/>
      </w:tabs>
    </w:pPr>
    <w:rPr>
      <w:rFonts w:ascii="Times New Roman" w:hAnsi="Times New Roman" w:eastAsia="宋体"/>
      <w:i/>
    </w:rPr>
  </w:style>
  <w:style w:type="paragraph" w:customStyle="1" w:styleId="4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18">
    <w:name w:val="P1"/>
    <w:basedOn w:val="1"/>
    <w:qFormat/>
    <w:uiPriority w:val="0"/>
    <w:pPr>
      <w:adjustRightInd/>
      <w:spacing w:line="288" w:lineRule="auto"/>
      <w:ind w:firstLine="425" w:firstLineChars="200"/>
    </w:pPr>
  </w:style>
  <w:style w:type="paragraph" w:customStyle="1" w:styleId="41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2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21">
    <w:name w:val="正文文字 2"/>
    <w:basedOn w:val="422"/>
    <w:next w:val="422"/>
    <w:qFormat/>
    <w:uiPriority w:val="0"/>
    <w:rPr>
      <w:rFonts w:ascii="宋体" w:eastAsia="宋体" w:cs="Times New Roman"/>
      <w:color w:val="auto"/>
    </w:rPr>
  </w:style>
  <w:style w:type="paragraph" w:customStyle="1" w:styleId="42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2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4">
    <w:name w:val="Char Char4 Char Char"/>
    <w:basedOn w:val="1"/>
    <w:qFormat/>
    <w:uiPriority w:val="0"/>
    <w:pPr>
      <w:widowControl/>
      <w:adjustRightInd/>
      <w:spacing w:after="160" w:line="240" w:lineRule="exact"/>
      <w:jc w:val="left"/>
    </w:pPr>
  </w:style>
  <w:style w:type="paragraph" w:customStyle="1" w:styleId="425">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6">
    <w:name w:val="_Style 12"/>
    <w:basedOn w:val="20"/>
    <w:qFormat/>
    <w:uiPriority w:val="0"/>
    <w:pPr>
      <w:snapToGrid w:val="0"/>
      <w:spacing w:line="360" w:lineRule="auto"/>
    </w:pPr>
  </w:style>
  <w:style w:type="paragraph" w:customStyle="1" w:styleId="427">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28">
    <w:name w:val="Char Char1 Char1"/>
    <w:basedOn w:val="1"/>
    <w:qFormat/>
    <w:uiPriority w:val="0"/>
    <w:rPr>
      <w:rFonts w:ascii="仿宋_GB2312" w:eastAsia="仿宋_GB2312"/>
      <w:b/>
      <w:sz w:val="32"/>
      <w:szCs w:val="32"/>
    </w:rPr>
  </w:style>
  <w:style w:type="paragraph" w:customStyle="1" w:styleId="429">
    <w:name w:val="Char2 Char Char"/>
    <w:basedOn w:val="1"/>
    <w:qFormat/>
    <w:uiPriority w:val="0"/>
    <w:pPr>
      <w:adjustRightInd/>
    </w:pPr>
    <w:rPr>
      <w:rFonts w:ascii="Tahoma" w:hAnsi="Tahoma"/>
      <w:sz w:val="24"/>
      <w:szCs w:val="20"/>
    </w:rPr>
  </w:style>
  <w:style w:type="paragraph" w:customStyle="1" w:styleId="43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31">
    <w:name w:val="MM Empty"/>
    <w:basedOn w:val="1"/>
    <w:qFormat/>
    <w:uiPriority w:val="0"/>
    <w:pPr>
      <w:adjustRightInd/>
    </w:pPr>
  </w:style>
  <w:style w:type="paragraph" w:customStyle="1" w:styleId="432">
    <w:name w:val="正文表标题"/>
    <w:next w:val="34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6">
    <w:name w:val="Char2 Char Char1"/>
    <w:basedOn w:val="1"/>
    <w:qFormat/>
    <w:uiPriority w:val="0"/>
    <w:pPr>
      <w:adjustRightInd/>
    </w:pPr>
    <w:rPr>
      <w:rFonts w:ascii="Tahoma" w:hAnsi="Tahoma"/>
      <w:sz w:val="24"/>
      <w:szCs w:val="20"/>
    </w:rPr>
  </w:style>
  <w:style w:type="paragraph" w:customStyle="1" w:styleId="437">
    <w:name w:val="数字标题3"/>
    <w:basedOn w:val="6"/>
    <w:next w:val="1"/>
    <w:qFormat/>
    <w:uiPriority w:val="0"/>
    <w:pPr>
      <w:numPr>
        <w:numId w:val="0"/>
      </w:numPr>
      <w:spacing w:line="240" w:lineRule="auto"/>
    </w:pPr>
    <w:rPr>
      <w:sz w:val="28"/>
      <w:szCs w:val="28"/>
    </w:rPr>
  </w:style>
  <w:style w:type="paragraph" w:customStyle="1" w:styleId="438">
    <w:name w:val="彩色列表 - 强调文字颜色 12"/>
    <w:basedOn w:val="1"/>
    <w:qFormat/>
    <w:uiPriority w:val="0"/>
    <w:pPr>
      <w:adjustRightInd/>
      <w:ind w:firstLine="420" w:firstLineChars="200"/>
    </w:pPr>
    <w:rPr>
      <w:rFonts w:ascii="Calibri" w:hAnsi="Calibri"/>
      <w:szCs w:val="22"/>
    </w:rPr>
  </w:style>
  <w:style w:type="paragraph" w:customStyle="1" w:styleId="439">
    <w:name w:val="正文－恩普"/>
    <w:basedOn w:val="1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44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441">
    <w:name w:val="正文（标题三）"/>
    <w:basedOn w:val="1"/>
    <w:qFormat/>
    <w:uiPriority w:val="0"/>
    <w:pPr>
      <w:spacing w:line="360" w:lineRule="auto"/>
      <w:ind w:firstLine="200" w:firstLineChars="200"/>
    </w:pPr>
    <w:rPr>
      <w:sz w:val="24"/>
    </w:rPr>
  </w:style>
  <w:style w:type="paragraph" w:customStyle="1" w:styleId="442">
    <w:name w:val="Char Char Char1 Char"/>
    <w:basedOn w:val="1"/>
    <w:qFormat/>
    <w:uiPriority w:val="0"/>
    <w:rPr>
      <w:szCs w:val="20"/>
    </w:rPr>
  </w:style>
  <w:style w:type="paragraph" w:customStyle="1" w:styleId="4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5">
    <w:name w:val="标题五"/>
    <w:basedOn w:val="1"/>
    <w:qFormat/>
    <w:uiPriority w:val="0"/>
    <w:pPr>
      <w:adjustRightInd/>
      <w:spacing w:beforeLines="50" w:line="360" w:lineRule="auto"/>
    </w:pPr>
    <w:rPr>
      <w:b/>
      <w:sz w:val="24"/>
    </w:rPr>
  </w:style>
  <w:style w:type="paragraph" w:customStyle="1" w:styleId="446">
    <w:name w:val="Char Char Char Char Char Char Char Char Char Char Char Char1 Char1"/>
    <w:basedOn w:val="1"/>
    <w:qFormat/>
    <w:uiPriority w:val="0"/>
    <w:rPr>
      <w:rFonts w:ascii="Tahoma" w:hAnsi="Tahoma" w:cs="仿宋_GB2312"/>
      <w:sz w:val="24"/>
      <w:szCs w:val="20"/>
    </w:rPr>
  </w:style>
  <w:style w:type="paragraph" w:customStyle="1" w:styleId="447">
    <w:name w:val="Bulleted List"/>
    <w:basedOn w:val="1"/>
    <w:qFormat/>
    <w:uiPriority w:val="0"/>
    <w:pPr>
      <w:tabs>
        <w:tab w:val="left" w:pos="1260"/>
      </w:tabs>
      <w:adjustRightInd/>
      <w:ind w:left="1260" w:hanging="420"/>
    </w:pPr>
  </w:style>
  <w:style w:type="paragraph" w:customStyle="1" w:styleId="448">
    <w:name w:val="Char Char1 Char Char Char"/>
    <w:basedOn w:val="1"/>
    <w:qFormat/>
    <w:uiPriority w:val="0"/>
    <w:rPr>
      <w:rFonts w:ascii="仿宋_GB2312" w:eastAsia="仿宋_GB2312"/>
      <w:b/>
      <w:sz w:val="32"/>
      <w:szCs w:val="20"/>
    </w:rPr>
  </w:style>
  <w:style w:type="paragraph" w:customStyle="1" w:styleId="44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0">
    <w:name w:val="数字标题2"/>
    <w:basedOn w:val="5"/>
    <w:next w:val="1"/>
    <w:qFormat/>
    <w:uiPriority w:val="0"/>
    <w:pPr>
      <w:numPr>
        <w:ilvl w:val="1"/>
        <w:numId w:val="5"/>
      </w:numPr>
    </w:pPr>
    <w:rPr>
      <w:rFonts w:ascii="Times New Roman" w:eastAsia="宋体"/>
      <w:i/>
      <w:sz w:val="36"/>
      <w:szCs w:val="36"/>
      <w:lang w:val="en-US"/>
    </w:rPr>
  </w:style>
  <w:style w:type="paragraph" w:customStyle="1" w:styleId="451">
    <w:name w:val="小节"/>
    <w:basedOn w:val="6"/>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52">
    <w:name w:val="Char21"/>
    <w:basedOn w:val="1"/>
    <w:qFormat/>
    <w:uiPriority w:val="0"/>
    <w:pPr>
      <w:adjustRightInd/>
      <w:ind w:firstLine="200" w:firstLineChars="200"/>
    </w:pPr>
    <w:rPr>
      <w:rFonts w:ascii="仿宋_GB2312" w:eastAsia="仿宋_GB2312"/>
      <w:b/>
      <w:sz w:val="32"/>
      <w:szCs w:val="32"/>
    </w:rPr>
  </w:style>
  <w:style w:type="paragraph" w:customStyle="1" w:styleId="453">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5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5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9">
    <w:name w:val="标书表格字体格式"/>
    <w:next w:val="307"/>
    <w:qFormat/>
    <w:uiPriority w:val="0"/>
    <w:rPr>
      <w:rFonts w:ascii="Times New Roman" w:hAnsi="Times New Roman" w:eastAsia="宋体" w:cs="Times New Roman"/>
      <w:kern w:val="2"/>
      <w:sz w:val="21"/>
      <w:szCs w:val="24"/>
      <w:lang w:val="en-US" w:eastAsia="zh-CN" w:bidi="ar-SA"/>
    </w:rPr>
  </w:style>
  <w:style w:type="paragraph" w:customStyle="1" w:styleId="46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6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2">
    <w:name w:val="五级条标题"/>
    <w:basedOn w:val="463"/>
    <w:next w:val="348"/>
    <w:qFormat/>
    <w:uiPriority w:val="0"/>
    <w:pPr>
      <w:numPr>
        <w:ilvl w:val="6"/>
      </w:numPr>
      <w:tabs>
        <w:tab w:val="left" w:pos="1260"/>
        <w:tab w:val="left" w:pos="1680"/>
        <w:tab w:val="left" w:pos="2100"/>
        <w:tab w:val="left" w:pos="2520"/>
        <w:tab w:val="left" w:pos="2940"/>
      </w:tabs>
      <w:outlineLvl w:val="6"/>
    </w:pPr>
  </w:style>
  <w:style w:type="paragraph" w:customStyle="1" w:styleId="463">
    <w:name w:val="四级条标题"/>
    <w:basedOn w:val="464"/>
    <w:next w:val="348"/>
    <w:qFormat/>
    <w:uiPriority w:val="0"/>
    <w:pPr>
      <w:numPr>
        <w:ilvl w:val="5"/>
        <w:numId w:val="4"/>
      </w:numPr>
      <w:tabs>
        <w:tab w:val="left" w:pos="1260"/>
        <w:tab w:val="left" w:pos="1680"/>
        <w:tab w:val="left" w:pos="2100"/>
        <w:tab w:val="left" w:pos="2520"/>
      </w:tabs>
      <w:outlineLvl w:val="5"/>
    </w:pPr>
  </w:style>
  <w:style w:type="paragraph" w:customStyle="1" w:styleId="464">
    <w:name w:val="三级条标题"/>
    <w:basedOn w:val="465"/>
    <w:next w:val="348"/>
    <w:qFormat/>
    <w:uiPriority w:val="0"/>
    <w:pPr>
      <w:tabs>
        <w:tab w:val="left" w:pos="1260"/>
        <w:tab w:val="left" w:pos="1680"/>
        <w:tab w:val="left" w:pos="2100"/>
        <w:tab w:val="left" w:pos="2520"/>
      </w:tabs>
      <w:ind w:left="2520"/>
      <w:outlineLvl w:val="4"/>
    </w:pPr>
  </w:style>
  <w:style w:type="paragraph" w:customStyle="1" w:styleId="465">
    <w:name w:val="二级条标题"/>
    <w:basedOn w:val="466"/>
    <w:next w:val="348"/>
    <w:qFormat/>
    <w:uiPriority w:val="0"/>
    <w:pPr>
      <w:tabs>
        <w:tab w:val="left" w:pos="1260"/>
        <w:tab w:val="left" w:pos="1680"/>
        <w:tab w:val="left" w:pos="2100"/>
      </w:tabs>
      <w:ind w:left="0"/>
      <w:outlineLvl w:val="3"/>
    </w:pPr>
  </w:style>
  <w:style w:type="paragraph" w:customStyle="1" w:styleId="466">
    <w:name w:val="一级条标题"/>
    <w:basedOn w:val="467"/>
    <w:next w:val="348"/>
    <w:qFormat/>
    <w:uiPriority w:val="0"/>
    <w:pPr>
      <w:tabs>
        <w:tab w:val="left" w:pos="1260"/>
        <w:tab w:val="left" w:pos="1680"/>
      </w:tabs>
      <w:spacing w:beforeLines="0" w:afterLines="0"/>
      <w:ind w:left="1680"/>
      <w:outlineLvl w:val="2"/>
    </w:pPr>
  </w:style>
  <w:style w:type="paragraph" w:customStyle="1" w:styleId="467">
    <w:name w:val="章标题"/>
    <w:next w:val="34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468">
    <w:name w:val="数字标题4"/>
    <w:basedOn w:val="7"/>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70">
    <w:name w:val="样式 标题 22h2L1 Heading 2H2sect 1.2H21sect 1.21H22sect 1.2..."/>
    <w:basedOn w:val="5"/>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7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3">
    <w:name w:val="数字标题1"/>
    <w:basedOn w:val="4"/>
    <w:next w:val="1"/>
    <w:qFormat/>
    <w:uiPriority w:val="0"/>
    <w:pPr>
      <w:numPr>
        <w:ilvl w:val="0"/>
        <w:numId w:val="5"/>
      </w:numPr>
      <w:tabs>
        <w:tab w:val="left" w:pos="432"/>
      </w:tabs>
    </w:pPr>
  </w:style>
  <w:style w:type="paragraph" w:customStyle="1" w:styleId="474">
    <w:name w:val="正文 项目2"/>
    <w:basedOn w:val="374"/>
    <w:qFormat/>
    <w:uiPriority w:val="0"/>
    <w:pPr>
      <w:numPr>
        <w:ilvl w:val="0"/>
        <w:numId w:val="6"/>
      </w:numPr>
      <w:tabs>
        <w:tab w:val="clear" w:pos="840"/>
      </w:tabs>
      <w:spacing w:after="0"/>
    </w:pPr>
  </w:style>
  <w:style w:type="paragraph" w:customStyle="1" w:styleId="47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7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7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0">
    <w:name w:val="Char Char Char1 Char1"/>
    <w:basedOn w:val="1"/>
    <w:qFormat/>
    <w:uiPriority w:val="0"/>
    <w:rPr>
      <w:szCs w:val="20"/>
    </w:rPr>
  </w:style>
  <w:style w:type="paragraph" w:customStyle="1" w:styleId="481">
    <w:name w:val="Char1 Char Char Char4"/>
    <w:basedOn w:val="1"/>
    <w:qFormat/>
    <w:uiPriority w:val="0"/>
    <w:pPr>
      <w:adjustRightInd/>
      <w:ind w:firstLine="200" w:firstLineChars="200"/>
    </w:pPr>
    <w:rPr>
      <w:rFonts w:ascii="Tahoma" w:hAnsi="Tahoma"/>
      <w:sz w:val="24"/>
      <w:szCs w:val="20"/>
    </w:rPr>
  </w:style>
  <w:style w:type="paragraph" w:customStyle="1" w:styleId="482">
    <w:name w:val="TOC 标题2"/>
    <w:basedOn w:val="4"/>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4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8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90">
    <w:name w:val="Char Char11 Char Char Char1"/>
    <w:basedOn w:val="1"/>
    <w:qFormat/>
    <w:uiPriority w:val="0"/>
    <w:pPr>
      <w:spacing w:line="360" w:lineRule="auto"/>
    </w:pPr>
    <w:rPr>
      <w:szCs w:val="20"/>
    </w:rPr>
  </w:style>
  <w:style w:type="paragraph" w:customStyle="1" w:styleId="49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Char Char Char Char Char Char Char Char"/>
    <w:basedOn w:val="1"/>
    <w:qFormat/>
    <w:uiPriority w:val="0"/>
    <w:pPr>
      <w:tabs>
        <w:tab w:val="left" w:pos="360"/>
      </w:tabs>
    </w:pPr>
    <w:rPr>
      <w:sz w:val="24"/>
      <w:szCs w:val="20"/>
    </w:rPr>
  </w:style>
  <w:style w:type="paragraph" w:customStyle="1" w:styleId="494">
    <w:name w:val="表格（小）"/>
    <w:basedOn w:val="1"/>
    <w:qFormat/>
    <w:uiPriority w:val="0"/>
    <w:pPr>
      <w:adjustRightInd/>
      <w:snapToGrid w:val="0"/>
      <w:spacing w:line="300" w:lineRule="auto"/>
    </w:pPr>
    <w:rPr>
      <w:rFonts w:eastAsia="仿宋"/>
      <w:szCs w:val="21"/>
    </w:rPr>
  </w:style>
  <w:style w:type="paragraph" w:customStyle="1" w:styleId="495">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7">
    <w:name w:val="List Paragraph1"/>
    <w:basedOn w:val="1"/>
    <w:qFormat/>
    <w:uiPriority w:val="34"/>
    <w:pPr>
      <w:spacing w:line="360" w:lineRule="auto"/>
      <w:ind w:firstLine="200" w:firstLineChars="200"/>
    </w:pPr>
    <w:rPr>
      <w:rFonts w:eastAsia="楷体_GB2312" w:cs="Lucida Sans"/>
      <w:sz w:val="24"/>
    </w:rPr>
  </w:style>
  <w:style w:type="paragraph" w:customStyle="1" w:styleId="498">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0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1">
    <w:name w:val="Table Text"/>
    <w:basedOn w:val="1"/>
    <w:qFormat/>
    <w:uiPriority w:val="0"/>
    <w:pPr>
      <w:widowControl/>
      <w:spacing w:before="60" w:after="60"/>
      <w:jc w:val="left"/>
    </w:pPr>
    <w:rPr>
      <w:kern w:val="0"/>
      <w:sz w:val="24"/>
    </w:rPr>
  </w:style>
  <w:style w:type="paragraph" w:customStyle="1" w:styleId="502">
    <w:name w:val="标书标题3"/>
    <w:basedOn w:val="6"/>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3">
    <w:name w:val="Char23"/>
    <w:basedOn w:val="1"/>
    <w:qFormat/>
    <w:uiPriority w:val="0"/>
    <w:rPr>
      <w:rFonts w:ascii="仿宋_GB2312" w:eastAsia="仿宋_GB2312"/>
      <w:b/>
      <w:sz w:val="32"/>
      <w:szCs w:val="32"/>
    </w:rPr>
  </w:style>
  <w:style w:type="paragraph" w:customStyle="1" w:styleId="504">
    <w:name w:val="Char Char Char Char Char Char Char Char1"/>
    <w:basedOn w:val="1"/>
    <w:qFormat/>
    <w:uiPriority w:val="0"/>
    <w:pPr>
      <w:tabs>
        <w:tab w:val="left" w:pos="360"/>
      </w:tabs>
    </w:pPr>
    <w:rPr>
      <w:sz w:val="24"/>
      <w:szCs w:val="20"/>
    </w:rPr>
  </w:style>
  <w:style w:type="paragraph" w:customStyle="1" w:styleId="50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6">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7">
    <w:name w:val="样式 标题 1Level 1 HeadPIM 1Section Headh1l11Heading 0Datash..."/>
    <w:basedOn w:val="4"/>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0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09">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10">
    <w:name w:val="WW-正文文字缩进 2"/>
    <w:basedOn w:val="1"/>
    <w:qFormat/>
    <w:uiPriority w:val="0"/>
    <w:pPr>
      <w:suppressAutoHyphens/>
      <w:adjustRightInd/>
      <w:ind w:firstLine="420"/>
    </w:pPr>
    <w:rPr>
      <w:kern w:val="1"/>
      <w:szCs w:val="20"/>
    </w:rPr>
  </w:style>
  <w:style w:type="paragraph" w:customStyle="1" w:styleId="51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3">
    <w:name w:val="标书标题4"/>
    <w:basedOn w:val="7"/>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5">
    <w:name w:val="四号　首行缩进"/>
    <w:basedOn w:val="1"/>
    <w:qFormat/>
    <w:uiPriority w:val="0"/>
    <w:pPr>
      <w:adjustRightInd/>
      <w:spacing w:line="360" w:lineRule="auto"/>
    </w:pPr>
    <w:rPr>
      <w:rFonts w:ascii="宋体" w:hAnsi="宋体"/>
      <w:szCs w:val="20"/>
    </w:rPr>
  </w:style>
  <w:style w:type="paragraph" w:customStyle="1" w:styleId="516">
    <w:name w:val="样式 标题 3H3 + 两端对齐"/>
    <w:basedOn w:val="6"/>
    <w:qFormat/>
    <w:uiPriority w:val="0"/>
    <w:pPr>
      <w:keepLines w:val="0"/>
      <w:numPr>
        <w:numId w:val="0"/>
      </w:numPr>
      <w:spacing w:before="0" w:after="0" w:line="240" w:lineRule="auto"/>
      <w:jc w:val="left"/>
    </w:pPr>
    <w:rPr>
      <w:rFonts w:cs="宋体"/>
      <w:sz w:val="21"/>
      <w:szCs w:val="20"/>
    </w:rPr>
  </w:style>
  <w:style w:type="paragraph" w:customStyle="1" w:styleId="517">
    <w:name w:val="bullet"/>
    <w:basedOn w:val="1"/>
    <w:qFormat/>
    <w:uiPriority w:val="0"/>
    <w:pPr>
      <w:tabs>
        <w:tab w:val="left" w:pos="840"/>
      </w:tabs>
      <w:adjustRightInd/>
      <w:ind w:left="840" w:hanging="420"/>
    </w:pPr>
  </w:style>
  <w:style w:type="paragraph" w:customStyle="1" w:styleId="51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1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20">
    <w:name w:val="单元格居中"/>
    <w:basedOn w:val="1"/>
    <w:qFormat/>
    <w:uiPriority w:val="0"/>
    <w:pPr>
      <w:adjustRightInd/>
      <w:spacing w:line="360" w:lineRule="auto"/>
      <w:jc w:val="center"/>
    </w:pPr>
    <w:rPr>
      <w:sz w:val="24"/>
    </w:rPr>
  </w:style>
  <w:style w:type="paragraph" w:customStyle="1" w:styleId="521">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22">
    <w:name w:val="Char Char14"/>
    <w:basedOn w:val="1"/>
    <w:qFormat/>
    <w:uiPriority w:val="0"/>
    <w:pPr>
      <w:spacing w:line="360" w:lineRule="auto"/>
    </w:pPr>
    <w:rPr>
      <w:rFonts w:ascii="Tahoma" w:hAnsi="Tahoma"/>
      <w:sz w:val="24"/>
      <w:szCs w:val="20"/>
    </w:rPr>
  </w:style>
  <w:style w:type="paragraph" w:customStyle="1" w:styleId="52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5">
    <w:name w:val="Char3 Char Char Char1"/>
    <w:basedOn w:val="1"/>
    <w:qFormat/>
    <w:uiPriority w:val="0"/>
    <w:pPr>
      <w:widowControl/>
      <w:adjustRightInd/>
      <w:spacing w:after="160" w:line="240" w:lineRule="exact"/>
      <w:jc w:val="left"/>
    </w:pPr>
    <w:rPr>
      <w:szCs w:val="20"/>
    </w:rPr>
  </w:style>
  <w:style w:type="paragraph" w:customStyle="1" w:styleId="526">
    <w:name w:val="Char Char Char Char Char Char Char Char Char Char"/>
    <w:basedOn w:val="1"/>
    <w:qFormat/>
    <w:uiPriority w:val="0"/>
    <w:rPr>
      <w:rFonts w:ascii="仿宋_GB2312" w:eastAsia="仿宋_GB2312"/>
      <w:b/>
      <w:sz w:val="32"/>
      <w:szCs w:val="32"/>
    </w:rPr>
  </w:style>
  <w:style w:type="paragraph" w:customStyle="1" w:styleId="52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29">
    <w:name w:val="EB_表格"/>
    <w:basedOn w:val="1"/>
    <w:qFormat/>
    <w:uiPriority w:val="0"/>
    <w:pPr>
      <w:adjustRightInd/>
      <w:spacing w:line="300" w:lineRule="auto"/>
      <w:jc w:val="center"/>
    </w:pPr>
  </w:style>
  <w:style w:type="paragraph" w:customStyle="1" w:styleId="530">
    <w:name w:val="Char5"/>
    <w:basedOn w:val="1"/>
    <w:qFormat/>
    <w:uiPriority w:val="0"/>
    <w:rPr>
      <w:rFonts w:ascii="仿宋_GB2312" w:eastAsia="仿宋_GB2312"/>
      <w:b/>
      <w:sz w:val="32"/>
      <w:szCs w:val="32"/>
    </w:rPr>
  </w:style>
  <w:style w:type="paragraph" w:customStyle="1" w:styleId="53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3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4">
    <w:name w:val="表格题注"/>
    <w:next w:val="1"/>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53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6">
    <w:name w:val="MM Topic 1"/>
    <w:basedOn w:val="4"/>
    <w:qFormat/>
    <w:uiPriority w:val="0"/>
    <w:pPr>
      <w:tabs>
        <w:tab w:val="left" w:pos="432"/>
        <w:tab w:val="left" w:pos="840"/>
      </w:tabs>
      <w:ind w:left="840" w:hanging="420"/>
    </w:pPr>
  </w:style>
  <w:style w:type="paragraph" w:customStyle="1" w:styleId="53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3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39">
    <w:name w:val="插图题注"/>
    <w:next w:val="1"/>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54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1">
    <w:name w:val="列表内容"/>
    <w:basedOn w:val="1"/>
    <w:next w:val="1"/>
    <w:qFormat/>
    <w:uiPriority w:val="0"/>
    <w:pPr>
      <w:widowControl/>
      <w:tabs>
        <w:tab w:val="left" w:pos="840"/>
      </w:tabs>
      <w:ind w:left="840" w:hanging="420"/>
      <w:jc w:val="left"/>
    </w:pPr>
    <w:rPr>
      <w:kern w:val="0"/>
      <w:sz w:val="18"/>
    </w:rPr>
  </w:style>
  <w:style w:type="paragraph" w:customStyle="1" w:styleId="542">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54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5">
    <w:name w:val="Char1 Char Char Char1"/>
    <w:basedOn w:val="1"/>
    <w:qFormat/>
    <w:uiPriority w:val="0"/>
    <w:pPr>
      <w:adjustRightInd/>
      <w:ind w:firstLine="200" w:firstLineChars="200"/>
    </w:pPr>
    <w:rPr>
      <w:rFonts w:ascii="Tahoma" w:hAnsi="Tahoma"/>
      <w:sz w:val="24"/>
      <w:szCs w:val="20"/>
    </w:rPr>
  </w:style>
  <w:style w:type="paragraph" w:customStyle="1" w:styleId="546">
    <w:name w:val="图中文字"/>
    <w:basedOn w:val="1"/>
    <w:qFormat/>
    <w:uiPriority w:val="0"/>
    <w:pPr>
      <w:snapToGrid w:val="0"/>
      <w:spacing w:line="0" w:lineRule="atLeast"/>
      <w:ind w:firstLine="200" w:firstLineChars="200"/>
      <w:jc w:val="center"/>
    </w:pPr>
    <w:rPr>
      <w:sz w:val="24"/>
      <w:szCs w:val="20"/>
    </w:rPr>
  </w:style>
  <w:style w:type="paragraph" w:customStyle="1" w:styleId="547">
    <w:name w:val="正文段"/>
    <w:basedOn w:val="1"/>
    <w:qFormat/>
    <w:uiPriority w:val="0"/>
    <w:pPr>
      <w:widowControl/>
      <w:snapToGrid w:val="0"/>
      <w:spacing w:afterLines="50"/>
      <w:ind w:firstLine="200" w:firstLineChars="200"/>
    </w:pPr>
    <w:rPr>
      <w:kern w:val="0"/>
      <w:sz w:val="24"/>
      <w:szCs w:val="20"/>
    </w:rPr>
  </w:style>
  <w:style w:type="paragraph" w:customStyle="1" w:styleId="54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4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50">
    <w:name w:val="样式 样式2 + 左侧:  1 字符 右侧:  1 字符"/>
    <w:basedOn w:val="486"/>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1">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55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4">
    <w:name w:val="Char Char Char Char Char Char Char Char Char Char1"/>
    <w:basedOn w:val="1"/>
    <w:qFormat/>
    <w:uiPriority w:val="0"/>
    <w:rPr>
      <w:rFonts w:ascii="仿宋_GB2312" w:eastAsia="仿宋_GB2312"/>
      <w:b/>
      <w:sz w:val="32"/>
      <w:szCs w:val="32"/>
    </w:rPr>
  </w:style>
  <w:style w:type="paragraph" w:customStyle="1" w:styleId="555">
    <w:name w:val="注释"/>
    <w:basedOn w:val="1"/>
    <w:qFormat/>
    <w:uiPriority w:val="0"/>
    <w:pPr>
      <w:adjustRightInd/>
      <w:spacing w:line="360" w:lineRule="auto"/>
      <w:ind w:firstLine="480"/>
    </w:pPr>
    <w:rPr>
      <w:sz w:val="24"/>
    </w:rPr>
  </w:style>
  <w:style w:type="paragraph" w:customStyle="1" w:styleId="55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正文 首行缩进:  2 字符 Char"/>
    <w:basedOn w:val="1"/>
    <w:qFormat/>
    <w:uiPriority w:val="0"/>
    <w:pPr>
      <w:adjustRightInd/>
      <w:spacing w:line="360" w:lineRule="auto"/>
      <w:ind w:firstLine="480"/>
    </w:pPr>
    <w:rPr>
      <w:rFonts w:cs="宋体"/>
      <w:sz w:val="24"/>
      <w:szCs w:val="20"/>
    </w:rPr>
  </w:style>
  <w:style w:type="paragraph" w:customStyle="1" w:styleId="56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2">
    <w:name w:val="标题4_自定义"/>
    <w:basedOn w:val="7"/>
    <w:qFormat/>
    <w:uiPriority w:val="0"/>
    <w:pPr>
      <w:numPr>
        <w:numId w:val="0"/>
      </w:numPr>
      <w:adjustRightInd/>
      <w:spacing w:before="0" w:after="0" w:line="360" w:lineRule="auto"/>
    </w:pPr>
    <w:rPr>
      <w:rFonts w:ascii="Verdana" w:eastAsia="Verdana"/>
      <w:sz w:val="21"/>
      <w:lang w:val="en-US"/>
    </w:rPr>
  </w:style>
  <w:style w:type="paragraph" w:customStyle="1" w:styleId="563">
    <w:name w:val="样式7"/>
    <w:basedOn w:val="370"/>
    <w:next w:val="1"/>
    <w:qFormat/>
    <w:uiPriority w:val="0"/>
    <w:pPr>
      <w:spacing w:afterLines="50"/>
      <w:jc w:val="left"/>
      <w:outlineLvl w:val="3"/>
    </w:pPr>
    <w:rPr>
      <w:sz w:val="24"/>
      <w:szCs w:val="24"/>
    </w:rPr>
  </w:style>
  <w:style w:type="paragraph" w:customStyle="1" w:styleId="56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5">
    <w:name w:val="单元格左对齐"/>
    <w:basedOn w:val="1"/>
    <w:qFormat/>
    <w:uiPriority w:val="0"/>
    <w:pPr>
      <w:adjustRightInd/>
      <w:spacing w:line="360" w:lineRule="auto"/>
    </w:pPr>
    <w:rPr>
      <w:sz w:val="24"/>
    </w:rPr>
  </w:style>
  <w:style w:type="paragraph" w:customStyle="1" w:styleId="566">
    <w:name w:val="Char Char1 Char Char Char1"/>
    <w:basedOn w:val="1"/>
    <w:qFormat/>
    <w:uiPriority w:val="0"/>
    <w:rPr>
      <w:rFonts w:ascii="仿宋_GB2312" w:eastAsia="仿宋_GB2312"/>
      <w:b/>
      <w:sz w:val="32"/>
      <w:szCs w:val="32"/>
    </w:rPr>
  </w:style>
  <w:style w:type="paragraph" w:customStyle="1" w:styleId="56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68">
    <w:name w:val="样式 标题 1章节第一层h1H"/>
    <w:basedOn w:val="4"/>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69">
    <w:name w:val="正文文字表格居中"/>
    <w:basedOn w:val="1"/>
    <w:next w:val="54"/>
    <w:qFormat/>
    <w:uiPriority w:val="0"/>
    <w:pPr>
      <w:snapToGrid w:val="0"/>
      <w:spacing w:line="360" w:lineRule="auto"/>
    </w:pPr>
    <w:rPr>
      <w:rFonts w:ascii="宋体"/>
      <w:b/>
      <w:sz w:val="24"/>
      <w:szCs w:val="20"/>
    </w:rPr>
  </w:style>
  <w:style w:type="paragraph" w:customStyle="1" w:styleId="57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3">
    <w:name w:val="Thf"/>
    <w:basedOn w:val="514"/>
    <w:qFormat/>
    <w:uiPriority w:val="0"/>
    <w:pPr>
      <w:ind w:left="0"/>
    </w:pPr>
  </w:style>
  <w:style w:type="paragraph" w:customStyle="1" w:styleId="57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6">
    <w:name w:val="Char19"/>
    <w:basedOn w:val="1"/>
    <w:qFormat/>
    <w:uiPriority w:val="0"/>
    <w:pPr>
      <w:adjustRightInd/>
    </w:pPr>
    <w:rPr>
      <w:szCs w:val="20"/>
    </w:rPr>
  </w:style>
  <w:style w:type="paragraph" w:customStyle="1" w:styleId="57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78">
    <w:name w:val="样式3"/>
    <w:basedOn w:val="486"/>
    <w:qFormat/>
    <w:uiPriority w:val="0"/>
    <w:pPr>
      <w:spacing w:beforeLines="100"/>
      <w:jc w:val="left"/>
    </w:pPr>
  </w:style>
  <w:style w:type="paragraph" w:customStyle="1" w:styleId="579">
    <w:name w:val="首行缩进"/>
    <w:basedOn w:val="1"/>
    <w:qFormat/>
    <w:uiPriority w:val="0"/>
    <w:pPr>
      <w:spacing w:line="360" w:lineRule="auto"/>
      <w:ind w:firstLine="480" w:firstLineChars="200"/>
    </w:pPr>
    <w:rPr>
      <w:rFonts w:ascii="宋体"/>
      <w:sz w:val="24"/>
      <w:szCs w:val="20"/>
    </w:rPr>
  </w:style>
  <w:style w:type="paragraph" w:customStyle="1" w:styleId="5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2">
    <w:name w:val="样式 标题 4PIM 4H4h4bulletblbbH41H42H43H44H45H46H47H48...1"/>
    <w:basedOn w:val="7"/>
    <w:qFormat/>
    <w:uiPriority w:val="0"/>
    <w:pPr>
      <w:widowControl/>
      <w:jc w:val="left"/>
    </w:pPr>
    <w:rPr>
      <w:rFonts w:cs="宋体"/>
      <w:sz w:val="24"/>
      <w:szCs w:val="20"/>
    </w:rPr>
  </w:style>
  <w:style w:type="paragraph" w:customStyle="1" w:styleId="58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4">
    <w:name w:val="样式 正文缩进 + 首行缩进:  2 字符"/>
    <w:basedOn w:val="17"/>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6">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8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88">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9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3">
    <w:name w:val="p0"/>
    <w:basedOn w:val="1"/>
    <w:qFormat/>
    <w:uiPriority w:val="0"/>
    <w:pPr>
      <w:widowControl/>
      <w:adjustRightInd/>
    </w:pPr>
    <w:rPr>
      <w:kern w:val="0"/>
      <w:szCs w:val="21"/>
    </w:rPr>
  </w:style>
  <w:style w:type="paragraph" w:customStyle="1" w:styleId="594">
    <w:name w:val="修订1"/>
    <w:qFormat/>
    <w:uiPriority w:val="0"/>
    <w:rPr>
      <w:rFonts w:ascii="Times New Roman" w:hAnsi="Times New Roman" w:eastAsia="宋体" w:cs="Times New Roman"/>
      <w:kern w:val="2"/>
      <w:sz w:val="21"/>
      <w:lang w:val="en-US" w:eastAsia="zh-CN" w:bidi="ar-SA"/>
    </w:rPr>
  </w:style>
  <w:style w:type="paragraph" w:customStyle="1" w:styleId="595">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6">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9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98">
    <w:name w:val="Char Char13"/>
    <w:basedOn w:val="1"/>
    <w:qFormat/>
    <w:uiPriority w:val="0"/>
    <w:pPr>
      <w:widowControl/>
      <w:spacing w:after="160" w:line="240" w:lineRule="exact"/>
      <w:jc w:val="left"/>
    </w:pPr>
    <w:rPr>
      <w:rFonts w:eastAsia="仿宋_GB2312"/>
      <w:sz w:val="28"/>
    </w:rPr>
  </w:style>
  <w:style w:type="paragraph" w:customStyle="1" w:styleId="59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0">
    <w:name w:val="FA正文"/>
    <w:basedOn w:val="1"/>
    <w:qFormat/>
    <w:uiPriority w:val="0"/>
    <w:pPr>
      <w:spacing w:line="360" w:lineRule="auto"/>
      <w:ind w:firstLine="480" w:firstLineChars="200"/>
    </w:pPr>
    <w:rPr>
      <w:rFonts w:hAnsi="宋体"/>
      <w:sz w:val="24"/>
      <w:szCs w:val="20"/>
    </w:rPr>
  </w:style>
  <w:style w:type="paragraph" w:customStyle="1" w:styleId="601">
    <w:name w:val="CM14"/>
    <w:basedOn w:val="422"/>
    <w:next w:val="422"/>
    <w:qFormat/>
    <w:uiPriority w:val="0"/>
    <w:pPr>
      <w:spacing w:after="68"/>
    </w:pPr>
    <w:rPr>
      <w:rFonts w:ascii="FHLHE E+ Futura Bk" w:eastAsia="FHLHE E+ Futura Bk" w:cs="Times New Roman"/>
      <w:color w:val="auto"/>
    </w:rPr>
  </w:style>
  <w:style w:type="paragraph" w:customStyle="1" w:styleId="602">
    <w:name w:val="Char Char Char Char2"/>
    <w:basedOn w:val="1"/>
    <w:qFormat/>
    <w:uiPriority w:val="0"/>
    <w:rPr>
      <w:rFonts w:ascii="Tahoma" w:hAnsi="Tahoma"/>
      <w:sz w:val="24"/>
      <w:szCs w:val="20"/>
    </w:rPr>
  </w:style>
  <w:style w:type="paragraph" w:customStyle="1" w:styleId="603">
    <w:name w:val="Char11"/>
    <w:basedOn w:val="1"/>
    <w:qFormat/>
    <w:uiPriority w:val="0"/>
    <w:pPr>
      <w:tabs>
        <w:tab w:val="left" w:pos="432"/>
      </w:tabs>
      <w:adjustRightInd/>
      <w:spacing w:beforeLines="50" w:afterLines="50"/>
      <w:ind w:left="432" w:hanging="432" w:firstLineChars="200"/>
    </w:pPr>
    <w:rPr>
      <w:sz w:val="24"/>
    </w:rPr>
  </w:style>
  <w:style w:type="paragraph" w:customStyle="1" w:styleId="604">
    <w:name w:val="样式1 + (中宋体"/>
    <w:basedOn w:val="48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0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7">
    <w:name w:val="带编号样式"/>
    <w:basedOn w:val="281"/>
    <w:qFormat/>
    <w:uiPriority w:val="0"/>
    <w:pPr>
      <w:tabs>
        <w:tab w:val="left" w:pos="840"/>
      </w:tabs>
      <w:snapToGrid w:val="0"/>
      <w:ind w:left="840" w:hanging="420" w:firstLineChars="0"/>
    </w:pPr>
    <w:rPr>
      <w:rFonts w:ascii="仿宋_GB2312" w:eastAsia="仿宋_GB2312"/>
      <w:color w:val="000000"/>
    </w:rPr>
  </w:style>
  <w:style w:type="paragraph" w:customStyle="1" w:styleId="60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09">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1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1">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3">
    <w:name w:val="Char1 Char Char Char5"/>
    <w:basedOn w:val="1"/>
    <w:qFormat/>
    <w:uiPriority w:val="0"/>
    <w:pPr>
      <w:adjustRightInd/>
      <w:ind w:firstLine="200" w:firstLineChars="200"/>
    </w:pPr>
    <w:rPr>
      <w:rFonts w:ascii="Tahoma" w:hAnsi="Tahoma"/>
      <w:sz w:val="24"/>
      <w:szCs w:val="20"/>
    </w:rPr>
  </w:style>
  <w:style w:type="paragraph" w:customStyle="1" w:styleId="61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8">
    <w:name w:val="纯文本_0_0"/>
    <w:basedOn w:val="617"/>
    <w:link w:val="619"/>
    <w:qFormat/>
    <w:uiPriority w:val="0"/>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索引 11"/>
    <w:basedOn w:val="1"/>
    <w:next w:val="1"/>
    <w:qFormat/>
    <w:uiPriority w:val="99"/>
    <w:pPr>
      <w:adjustRightInd/>
      <w:spacing w:line="360" w:lineRule="auto"/>
    </w:pPr>
    <w:rPr>
      <w:rFonts w:ascii="仿宋_GB2312" w:eastAsia="仿宋_GB2312"/>
      <w:sz w:val="24"/>
      <w:szCs w:val="20"/>
    </w:rPr>
  </w:style>
  <w:style w:type="character" w:customStyle="1" w:styleId="623">
    <w:name w:val="正文缩进 字符"/>
    <w:qFormat/>
    <w:uiPriority w:val="0"/>
    <w:rPr>
      <w:rFonts w:ascii="宋体" w:eastAsia="宋体"/>
      <w:snapToGrid w:val="0"/>
      <w:color w:val="000000"/>
      <w:kern w:val="28"/>
      <w:sz w:val="28"/>
      <w:lang w:val="en-US" w:eastAsia="zh-CN" w:bidi="ar-SA"/>
    </w:rPr>
  </w:style>
  <w:style w:type="character" w:customStyle="1" w:styleId="624">
    <w:name w:val="纯文本 字符"/>
    <w:qFormat/>
    <w:uiPriority w:val="0"/>
    <w:rPr>
      <w:rFonts w:ascii="宋体" w:hAnsi="Courier New" w:eastAsia="宋体" w:cs="Arial"/>
      <w:snapToGrid w:val="0"/>
      <w:kern w:val="2"/>
      <w:sz w:val="21"/>
      <w:szCs w:val="21"/>
      <w:lang w:val="en-US" w:eastAsia="zh-CN" w:bidi="ar-SA"/>
    </w:rPr>
  </w:style>
  <w:style w:type="character" w:customStyle="1" w:styleId="625">
    <w:name w:val="正文文本缩进 字符"/>
    <w:qFormat/>
    <w:uiPriority w:val="0"/>
    <w:rPr>
      <w:rFonts w:ascii="宋体" w:hAnsi="宋体"/>
      <w:kern w:val="2"/>
      <w:sz w:val="24"/>
      <w:szCs w:val="24"/>
    </w:rPr>
  </w:style>
  <w:style w:type="character" w:customStyle="1" w:styleId="626">
    <w:name w:val="bookmark-item"/>
    <w:qFormat/>
    <w:uiPriority w:val="0"/>
    <w:rPr>
      <w:rFonts w:ascii="Arial" w:hAnsi="Arial" w:eastAsia="黑体" w:cs="Arial"/>
      <w:snapToGrid/>
      <w:kern w:val="0"/>
      <w:szCs w:val="21"/>
    </w:rPr>
  </w:style>
  <w:style w:type="character" w:customStyle="1" w:styleId="627">
    <w:name w:val="fontstyle01"/>
    <w:qFormat/>
    <w:uiPriority w:val="0"/>
    <w:rPr>
      <w:rFonts w:hint="eastAsia" w:ascii="宋体" w:hAnsi="宋体" w:eastAsia="宋体" w:cs="Arial"/>
      <w:snapToGrid/>
      <w:color w:val="000000"/>
      <w:kern w:val="0"/>
      <w:sz w:val="36"/>
      <w:szCs w:val="36"/>
    </w:rPr>
  </w:style>
  <w:style w:type="character" w:customStyle="1" w:styleId="628">
    <w:name w:val="正文文本缩进 Char3"/>
    <w:qFormat/>
    <w:uiPriority w:val="0"/>
    <w:rPr>
      <w:rFonts w:ascii="宋体" w:hAnsi="宋体"/>
      <w:kern w:val="2"/>
      <w:sz w:val="24"/>
      <w:szCs w:val="24"/>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30">
    <w:name w:val="页脚 Char2"/>
    <w:link w:val="38"/>
    <w:qFormat/>
    <w:locked/>
    <w:uiPriority w:val="99"/>
    <w:rPr>
      <w:kern w:val="2"/>
      <w:sz w:val="18"/>
      <w:szCs w:val="18"/>
    </w:rPr>
  </w:style>
  <w:style w:type="character" w:customStyle="1" w:styleId="631">
    <w:name w:val="页眉 Char2"/>
    <w:link w:val="39"/>
    <w:qFormat/>
    <w:uiPriority w:val="99"/>
    <w:rPr>
      <w:kern w:val="2"/>
      <w:sz w:val="18"/>
      <w:szCs w:val="18"/>
    </w:rPr>
  </w:style>
  <w:style w:type="paragraph" w:customStyle="1" w:styleId="632">
    <w:name w:val="封面编号"/>
    <w:basedOn w:val="1"/>
    <w:qFormat/>
    <w:uiPriority w:val="0"/>
    <w:pPr>
      <w:spacing w:line="360" w:lineRule="auto"/>
      <w:jc w:val="center"/>
    </w:pPr>
    <w:rPr>
      <w:rFonts w:ascii="黑体" w:hAnsi="宋体" w:eastAsia="黑体" w:cs="宋体"/>
      <w:b/>
      <w:bCs/>
      <w:sz w:val="38"/>
      <w:szCs w:val="20"/>
    </w:rPr>
  </w:style>
  <w:style w:type="paragraph" w:customStyle="1" w:styleId="633">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634">
    <w:name w:val="[Normal]"/>
    <w:qFormat/>
    <w:uiPriority w:val="0"/>
    <w:rPr>
      <w:rFonts w:ascii="宋体" w:hAnsi="宋体" w:eastAsia="宋体" w:cs="Times New Roman"/>
      <w:sz w:val="24"/>
      <w:szCs w:val="22"/>
      <w:lang w:val="zh-CN" w:eastAsia="zh-CN" w:bidi="ar-SA"/>
    </w:rPr>
  </w:style>
  <w:style w:type="paragraph" w:customStyle="1" w:styleId="635">
    <w:name w:val="_Style 3"/>
    <w:basedOn w:val="1"/>
    <w:qFormat/>
    <w:uiPriority w:val="0"/>
    <w:pPr>
      <w:adjustRightInd/>
      <w:ind w:firstLine="420" w:firstLineChars="200"/>
    </w:pPr>
    <w:rPr>
      <w:rFonts w:eastAsia="仿宋_GB2312"/>
      <w:sz w:val="28"/>
    </w:rPr>
  </w:style>
  <w:style w:type="paragraph" w:customStyle="1" w:styleId="636">
    <w:name w:val="B"/>
    <w:basedOn w:val="637"/>
    <w:qFormat/>
    <w:uiPriority w:val="0"/>
    <w:pPr>
      <w:tabs>
        <w:tab w:val="center" w:pos="4706"/>
        <w:tab w:val="right" w:pos="9044"/>
      </w:tabs>
      <w:wordWrap/>
      <w:spacing w:line="312" w:lineRule="exact"/>
    </w:pPr>
    <w:rPr>
      <w:rFonts w:ascii="E-F1"/>
      <w:szCs w:val="21"/>
    </w:rPr>
  </w:style>
  <w:style w:type="paragraph" w:customStyle="1" w:styleId="637">
    <w:name w:val="表头"/>
    <w:basedOn w:val="1"/>
    <w:qFormat/>
    <w:uiPriority w:val="0"/>
    <w:pPr>
      <w:wordWrap w:val="0"/>
      <w:topLinePunct/>
      <w:jc w:val="center"/>
    </w:pPr>
    <w:rPr>
      <w:rFonts w:eastAsia="黑体"/>
    </w:rPr>
  </w:style>
  <w:style w:type="paragraph" w:customStyle="1" w:styleId="638">
    <w:name w:val="表文"/>
    <w:basedOn w:val="1"/>
    <w:qFormat/>
    <w:uiPriority w:val="0"/>
    <w:pPr>
      <w:topLinePunct/>
    </w:pPr>
    <w:rPr>
      <w:rFonts w:ascii="仿宋_GB2312" w:hAnsi="仿宋_GB2312" w:eastAsia="仿宋_GB2312"/>
      <w:sz w:val="18"/>
    </w:rPr>
  </w:style>
  <w:style w:type="paragraph" w:customStyle="1" w:styleId="639">
    <w:name w:val="表格内字体字号"/>
    <w:basedOn w:val="1"/>
    <w:qFormat/>
    <w:uiPriority w:val="0"/>
    <w:pPr>
      <w:topLinePunct/>
      <w:snapToGrid w:val="0"/>
      <w:spacing w:beforeLines="20" w:afterLines="20"/>
      <w:ind w:left="30" w:leftChars="30" w:right="30" w:rightChars="30"/>
      <w:jc w:val="center"/>
    </w:pPr>
    <w:rPr>
      <w:sz w:val="18"/>
      <w:szCs w:val="18"/>
    </w:rPr>
  </w:style>
  <w:style w:type="table" w:customStyle="1" w:styleId="64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numbering" Target="numbering.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8C66-B602-42B9-9EDA-A0936F1CECA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25856</Words>
  <Characters>27252</Characters>
  <Lines>34</Lines>
  <Paragraphs>59</Paragraphs>
  <TotalTime>10</TotalTime>
  <ScaleCrop>false</ScaleCrop>
  <LinksUpToDate>false</LinksUpToDate>
  <CharactersWithSpaces>28671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2021-01-18T05:30:00Z</dcterms:created>
  <dc:creator>玥</dc:creator>
  <cp:lastModifiedBy>北极熊不吃鱼</cp:lastModifiedBy>
  <cp:lastPrinted>2023-03-06T02:12:00Z</cp:lastPrinted>
  <dcterms:modified xsi:type="dcterms:W3CDTF">2023-03-07T05:41:22Z</dcterms:modified>
  <dc:title>杭州市市民卡扩大发卡工程</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5CB0A14C6E374194988385EE78EF5E00</vt:lpwstr>
  </property>
</Properties>
</file>