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rPr>
      </w:pPr>
    </w:p>
    <w:p>
      <w:pPr>
        <w:adjustRightInd/>
        <w:spacing w:line="360" w:lineRule="auto"/>
        <w:rPr>
          <w:rFonts w:hint="eastAsia" w:ascii="仿宋" w:hAnsi="仿宋" w:eastAsia="仿宋" w:cs="仿宋"/>
          <w:b/>
          <w:color w:val="auto"/>
          <w:sz w:val="44"/>
          <w:szCs w:val="44"/>
          <w:highlight w:val="none"/>
        </w:rPr>
      </w:pPr>
    </w:p>
    <w:p>
      <w:pPr>
        <w:adjustRightInd/>
        <w:spacing w:line="360" w:lineRule="auto"/>
        <w:jc w:val="center"/>
        <w:rPr>
          <w:rFonts w:hint="eastAsia" w:ascii="仿宋" w:hAnsi="仿宋" w:eastAsia="仿宋" w:cs="仿宋"/>
          <w:b/>
          <w:color w:val="auto"/>
          <w:sz w:val="48"/>
          <w:szCs w:val="48"/>
          <w:highlight w:val="none"/>
          <w:lang w:eastAsia="zh-CN"/>
        </w:rPr>
      </w:pPr>
      <w:r>
        <w:rPr>
          <w:rFonts w:hint="eastAsia" w:ascii="仿宋" w:hAnsi="仿宋" w:eastAsia="仿宋" w:cs="仿宋"/>
          <w:b/>
          <w:color w:val="auto"/>
          <w:spacing w:val="-28"/>
          <w:sz w:val="48"/>
          <w:szCs w:val="48"/>
          <w:highlight w:val="none"/>
          <w:lang w:eastAsia="zh-CN"/>
        </w:rPr>
        <w:t>萧山区总工会宣传服务项目（2023年）</w:t>
      </w:r>
    </w:p>
    <w:p>
      <w:pPr>
        <w:pStyle w:val="18"/>
        <w:rPr>
          <w:rFonts w:hint="eastAsia" w:ascii="仿宋" w:hAnsi="仿宋" w:eastAsia="仿宋" w:cs="仿宋"/>
          <w:color w:val="auto"/>
          <w:highlight w:val="none"/>
        </w:rPr>
      </w:pPr>
    </w:p>
    <w:p>
      <w:pPr>
        <w:pStyle w:val="18"/>
        <w:rPr>
          <w:rFonts w:hint="eastAsia" w:ascii="仿宋" w:hAnsi="仿宋" w:eastAsia="仿宋" w:cs="仿宋"/>
          <w:color w:val="auto"/>
          <w:highlight w:val="none"/>
        </w:rPr>
      </w:pPr>
    </w:p>
    <w:p>
      <w:pPr>
        <w:adjustRightInd/>
        <w:spacing w:line="360" w:lineRule="auto"/>
        <w:jc w:val="center"/>
        <w:rPr>
          <w:rFonts w:hint="eastAsia" w:ascii="仿宋" w:hAnsi="仿宋" w:eastAsia="仿宋" w:cs="仿宋"/>
          <w:b/>
          <w:color w:val="auto"/>
          <w:sz w:val="84"/>
          <w:szCs w:val="84"/>
          <w:highlight w:val="none"/>
        </w:rPr>
      </w:pPr>
      <w:r>
        <w:rPr>
          <w:rFonts w:hint="eastAsia" w:ascii="仿宋" w:hAnsi="仿宋" w:eastAsia="仿宋" w:cs="仿宋"/>
          <w:b/>
          <w:color w:val="auto"/>
          <w:sz w:val="84"/>
          <w:szCs w:val="84"/>
          <w:highlight w:val="none"/>
        </w:rPr>
        <w:t>交易文件</w:t>
      </w:r>
    </w:p>
    <w:p>
      <w:pPr>
        <w:adjustRightInd/>
        <w:spacing w:line="360" w:lineRule="auto"/>
        <w:jc w:val="center"/>
        <w:rPr>
          <w:rFonts w:hint="eastAsia" w:ascii="仿宋" w:hAnsi="仿宋" w:eastAsia="仿宋" w:cs="仿宋"/>
          <w:b/>
          <w:color w:val="auto"/>
          <w:sz w:val="56"/>
          <w:szCs w:val="72"/>
          <w:highlight w:val="none"/>
        </w:rPr>
      </w:pPr>
      <w:r>
        <w:rPr>
          <w:rFonts w:hint="eastAsia" w:ascii="仿宋" w:hAnsi="仿宋" w:eastAsia="仿宋" w:cs="仿宋"/>
          <w:b/>
          <w:color w:val="auto"/>
          <w:sz w:val="56"/>
          <w:szCs w:val="72"/>
          <w:highlight w:val="none"/>
        </w:rPr>
        <w:t>（电子交易标）</w:t>
      </w:r>
    </w:p>
    <w:p>
      <w:pPr>
        <w:snapToGrid w:val="0"/>
        <w:spacing w:line="360" w:lineRule="auto"/>
        <w:ind w:firstLine="3012" w:firstLineChars="1000"/>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rPr>
        <w:t>编号:XSQZGH-GYGK-</w:t>
      </w:r>
      <w:r>
        <w:rPr>
          <w:rFonts w:hint="eastAsia" w:ascii="仿宋" w:hAnsi="仿宋" w:eastAsia="仿宋" w:cs="仿宋"/>
          <w:b/>
          <w:bCs/>
          <w:color w:val="auto"/>
          <w:sz w:val="30"/>
          <w:szCs w:val="30"/>
          <w:highlight w:val="none"/>
          <w:lang w:val="en-US" w:eastAsia="zh-CN"/>
        </w:rPr>
        <w:t xml:space="preserve">2023031401 </w:t>
      </w:r>
    </w:p>
    <w:p>
      <w:pPr>
        <w:adjustRightInd/>
        <w:spacing w:line="360" w:lineRule="auto"/>
        <w:jc w:val="center"/>
        <w:rPr>
          <w:rFonts w:hint="eastAsia" w:ascii="仿宋" w:hAnsi="仿宋" w:eastAsia="仿宋" w:cs="仿宋"/>
          <w:b/>
          <w:color w:val="auto"/>
          <w:sz w:val="56"/>
          <w:szCs w:val="72"/>
          <w:highlight w:val="none"/>
        </w:rPr>
      </w:pPr>
    </w:p>
    <w:p>
      <w:pPr>
        <w:spacing w:line="360" w:lineRule="auto"/>
        <w:jc w:val="center"/>
        <w:rPr>
          <w:rFonts w:hint="eastAsia" w:ascii="仿宋" w:hAnsi="仿宋" w:eastAsia="仿宋" w:cs="仿宋"/>
          <w:b/>
          <w:color w:val="auto"/>
          <w:sz w:val="24"/>
          <w:highlight w:val="none"/>
        </w:rPr>
      </w:pPr>
    </w:p>
    <w:p>
      <w:pPr>
        <w:pStyle w:val="6"/>
        <w:numPr>
          <w:ilvl w:val="2"/>
          <w:numId w:val="0"/>
        </w:numPr>
        <w:rPr>
          <w:rFonts w:hint="eastAsia" w:ascii="仿宋" w:hAnsi="仿宋" w:eastAsia="仿宋" w:cs="仿宋"/>
          <w:color w:val="auto"/>
          <w:highlight w:val="none"/>
        </w:rPr>
      </w:pPr>
    </w:p>
    <w:p>
      <w:pPr>
        <w:pStyle w:val="6"/>
        <w:numPr>
          <w:ilvl w:val="2"/>
          <w:numId w:val="0"/>
        </w:numPr>
        <w:rPr>
          <w:rFonts w:hint="eastAsia" w:ascii="仿宋" w:hAnsi="仿宋" w:eastAsia="仿宋" w:cs="仿宋"/>
          <w:color w:val="auto"/>
          <w:highlight w:val="none"/>
        </w:rPr>
      </w:pPr>
    </w:p>
    <w:p>
      <w:pPr>
        <w:rPr>
          <w:rFonts w:hint="eastAsia" w:ascii="仿宋" w:hAnsi="仿宋" w:eastAsia="仿宋" w:cs="仿宋"/>
          <w:color w:val="auto"/>
          <w:highlight w:val="none"/>
        </w:rPr>
      </w:pPr>
    </w:p>
    <w:p>
      <w:pPr>
        <w:snapToGrid w:val="0"/>
        <w:spacing w:line="360" w:lineRule="auto"/>
        <w:jc w:val="center"/>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杭州市萧山区总工会</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浙江华域高宇项目管理有限公司</w:t>
      </w:r>
    </w:p>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eastAsia="zh-CN"/>
        </w:rPr>
        <w:t>三</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二</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eastAsia="zh-CN"/>
        </w:rPr>
        <w:t>二十</w:t>
      </w:r>
      <w:r>
        <w:rPr>
          <w:rFonts w:hint="eastAsia" w:ascii="仿宋" w:hAnsi="仿宋" w:eastAsia="仿宋" w:cs="仿宋"/>
          <w:bCs/>
          <w:color w:val="auto"/>
          <w:sz w:val="32"/>
          <w:szCs w:val="32"/>
          <w:highlight w:val="none"/>
          <w:lang w:val="en-US" w:eastAsia="zh-CN"/>
        </w:rPr>
        <w:t>一</w:t>
      </w:r>
      <w:r>
        <w:rPr>
          <w:rFonts w:hint="eastAsia" w:ascii="仿宋" w:hAnsi="仿宋" w:eastAsia="仿宋" w:cs="仿宋"/>
          <w:bCs/>
          <w:color w:val="auto"/>
          <w:sz w:val="32"/>
          <w:szCs w:val="32"/>
          <w:highlight w:val="none"/>
        </w:rPr>
        <w:t>日</w:t>
      </w: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bookmarkStart w:id="1" w:name="_Hlt91233176"/>
      <w:bookmarkEnd w:id="1"/>
      <w:bookmarkStart w:id="2" w:name="_Toc91899869"/>
      <w:r>
        <w:rPr>
          <w:rFonts w:hint="eastAsia" w:ascii="仿宋" w:hAnsi="仿宋" w:eastAsia="仿宋" w:cs="仿宋"/>
          <w:color w:val="auto"/>
          <w:sz w:val="32"/>
          <w:szCs w:val="32"/>
          <w:highlight w:val="none"/>
        </w:rPr>
        <w:t>第一部分交易公告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第二部分供应商须知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第四部分评审办法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第六部分应提交的有关格式范例</w:t>
      </w: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pStyle w:val="4"/>
        <w:rPr>
          <w:rFonts w:hint="eastAsia" w:ascii="仿宋" w:hAnsi="仿宋" w:eastAsia="仿宋" w:cs="仿宋"/>
          <w:color w:val="auto"/>
          <w:highlight w:val="none"/>
        </w:rPr>
      </w:pPr>
      <w:bookmarkStart w:id="3" w:name="第一部分"/>
      <w:r>
        <w:rPr>
          <w:rFonts w:hint="eastAsia" w:ascii="仿宋" w:hAnsi="仿宋" w:eastAsia="仿宋" w:cs="仿宋"/>
          <w:color w:val="auto"/>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 w:hAnsi="仿宋" w:eastAsia="仿宋" w:cs="仿宋"/>
          <w:color w:val="auto"/>
          <w:highlight w:val="none"/>
        </w:rPr>
        <w:t>第一部分交易公告</w:t>
      </w:r>
    </w:p>
    <w:p>
      <w:pPr>
        <w:pBdr>
          <w:top w:val="single" w:color="auto" w:sz="4" w:space="1"/>
          <w:left w:val="single" w:color="auto" w:sz="4" w:space="4"/>
          <w:bottom w:val="single" w:color="auto" w:sz="4" w:space="1"/>
          <w:right w:val="single" w:color="auto" w:sz="4" w:space="4"/>
        </w:pBdr>
        <w:ind w:left="84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项目概况：</w:t>
      </w:r>
    </w:p>
    <w:p>
      <w:pPr>
        <w:pBdr>
          <w:top w:val="single" w:color="auto" w:sz="4" w:space="1"/>
          <w:left w:val="single" w:color="auto" w:sz="4" w:space="4"/>
          <w:bottom w:val="single" w:color="auto" w:sz="4" w:space="1"/>
          <w:right w:val="single" w:color="auto" w:sz="4" w:space="4"/>
        </w:pBdr>
        <w:ind w:left="840" w:firstLine="480" w:firstLineChars="200"/>
        <w:rPr>
          <w:rFonts w:hint="eastAsia" w:ascii="仿宋" w:hAnsi="仿宋" w:eastAsia="仿宋" w:cs="仿宋"/>
          <w:color w:val="auto"/>
          <w:sz w:val="24"/>
          <w:szCs w:val="28"/>
          <w:highlight w:val="none"/>
        </w:rPr>
      </w:pPr>
      <w:r>
        <w:rPr>
          <w:rFonts w:hint="eastAsia" w:ascii="仿宋" w:hAnsi="仿宋" w:eastAsia="仿宋" w:cs="仿宋"/>
          <w:color w:val="auto"/>
          <w:sz w:val="24"/>
          <w:highlight w:val="none"/>
          <w:lang w:eastAsia="zh-CN"/>
        </w:rPr>
        <w:t>萧山区总工会宣传服务项目（2023年）</w:t>
      </w:r>
      <w:r>
        <w:rPr>
          <w:rFonts w:hint="eastAsia" w:ascii="仿宋" w:hAnsi="仿宋" w:eastAsia="仿宋" w:cs="仿宋"/>
          <w:color w:val="auto"/>
          <w:sz w:val="24"/>
          <w:highlight w:val="none"/>
        </w:rPr>
        <w:t>的潜在供应商应在政采云平台（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HYPERLINK"https://www.zcygov.cn/）获取（下载）招标文件，并于2021年"</w:instrText>
      </w:r>
      <w:r>
        <w:rPr>
          <w:rFonts w:hint="eastAsia" w:ascii="仿宋" w:hAnsi="仿宋" w:eastAsia="仿宋" w:cs="仿宋"/>
          <w:color w:val="auto"/>
          <w:highlight w:val="none"/>
        </w:rPr>
        <w:fldChar w:fldCharType="separate"/>
      </w:r>
      <w:r>
        <w:rPr>
          <w:rStyle w:val="69"/>
          <w:rFonts w:hint="eastAsia" w:ascii="仿宋" w:hAnsi="仿宋" w:eastAsia="仿宋" w:cs="仿宋"/>
          <w:color w:val="auto"/>
          <w:sz w:val="24"/>
          <w:szCs w:val="24"/>
          <w:highlight w:val="none"/>
        </w:rPr>
        <w:t>https://www.zcygov.cn/）获取（下载）交易文件，并于202</w:t>
      </w:r>
      <w:r>
        <w:rPr>
          <w:rStyle w:val="69"/>
          <w:rFonts w:hint="eastAsia" w:ascii="仿宋" w:hAnsi="仿宋" w:eastAsia="仿宋" w:cs="仿宋"/>
          <w:color w:val="auto"/>
          <w:sz w:val="24"/>
          <w:szCs w:val="24"/>
          <w:highlight w:val="none"/>
          <w:lang w:val="en-US" w:eastAsia="zh-CN"/>
        </w:rPr>
        <w:t>3</w:t>
      </w:r>
      <w:r>
        <w:rPr>
          <w:rStyle w:val="69"/>
          <w:rFonts w:hint="eastAsia" w:ascii="仿宋" w:hAnsi="仿宋" w:eastAsia="仿宋" w:cs="仿宋"/>
          <w:color w:val="auto"/>
          <w:sz w:val="24"/>
          <w:szCs w:val="24"/>
          <w:highlight w:val="none"/>
        </w:rPr>
        <w:t>年</w:t>
      </w:r>
      <w:r>
        <w:rPr>
          <w:rStyle w:val="69"/>
          <w:rFonts w:hint="eastAsia" w:ascii="仿宋" w:hAnsi="仿宋" w:eastAsia="仿宋" w:cs="仿宋"/>
          <w:color w:val="auto"/>
          <w:sz w:val="24"/>
          <w:szCs w:val="24"/>
          <w:highlight w:val="none"/>
        </w:rPr>
        <w:fldChar w:fldCharType="end"/>
      </w:r>
      <w:r>
        <w:rPr>
          <w:rStyle w:val="69"/>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bCs/>
          <w:color w:val="auto"/>
          <w:sz w:val="24"/>
          <w:highlight w:val="none"/>
          <w:u w:val="single"/>
        </w:rPr>
        <w:t>点30分00秒</w:t>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pStyle w:val="5"/>
        <w:numPr>
          <w:ilvl w:val="0"/>
          <w:numId w:val="0"/>
        </w:numPr>
        <w:rPr>
          <w:rFonts w:hint="eastAsia" w:ascii="仿宋" w:hAnsi="仿宋" w:eastAsia="仿宋" w:cs="仿宋"/>
          <w:color w:val="auto"/>
          <w:sz w:val="24"/>
          <w:szCs w:val="28"/>
          <w:highlight w:val="none"/>
        </w:rPr>
      </w:pPr>
      <w:bookmarkStart w:id="11" w:name="_Toc28359002"/>
      <w:bookmarkStart w:id="12" w:name="_Toc35393790"/>
      <w:bookmarkStart w:id="13" w:name="_Toc35393621"/>
      <w:bookmarkStart w:id="14" w:name="_Toc28359079"/>
      <w:bookmarkStart w:id="15" w:name="_Hlk24379207"/>
      <w:r>
        <w:rPr>
          <w:rFonts w:hint="eastAsia" w:ascii="仿宋" w:hAnsi="仿宋" w:eastAsia="仿宋" w:cs="仿宋"/>
          <w:color w:val="auto"/>
          <w:sz w:val="24"/>
          <w:szCs w:val="28"/>
          <w:highlight w:val="none"/>
        </w:rPr>
        <w:t>一、项目基本情况</w:t>
      </w:r>
      <w:bookmarkEnd w:id="11"/>
      <w:bookmarkEnd w:id="12"/>
      <w:bookmarkEnd w:id="13"/>
      <w:bookmarkEnd w:id="14"/>
    </w:p>
    <w:p>
      <w:pPr>
        <w:spacing w:line="360" w:lineRule="auto"/>
        <w:ind w:left="420" w:leftChars="200"/>
        <w:jc w:val="left"/>
        <w:rPr>
          <w:rFonts w:hint="eastAsia" w:ascii="仿宋" w:hAnsi="仿宋" w:eastAsia="仿宋" w:cs="仿宋"/>
          <w:color w:val="auto"/>
          <w:sz w:val="24"/>
          <w:szCs w:val="28"/>
          <w:highlight w:val="none"/>
          <w:lang w:eastAsia="zh-CN"/>
        </w:rPr>
      </w:pPr>
      <w:r>
        <w:rPr>
          <w:rFonts w:hint="eastAsia" w:ascii="仿宋" w:hAnsi="仿宋" w:eastAsia="仿宋" w:cs="仿宋"/>
          <w:color w:val="auto"/>
          <w:sz w:val="24"/>
          <w:szCs w:val="28"/>
          <w:highlight w:val="none"/>
        </w:rPr>
        <w:t>项目编号：XSQZGH-GYGK-</w:t>
      </w:r>
      <w:r>
        <w:rPr>
          <w:rFonts w:hint="eastAsia" w:ascii="仿宋" w:hAnsi="仿宋" w:eastAsia="仿宋" w:cs="仿宋"/>
          <w:color w:val="auto"/>
          <w:sz w:val="24"/>
          <w:szCs w:val="28"/>
          <w:highlight w:val="none"/>
          <w:lang w:eastAsia="zh-CN"/>
        </w:rPr>
        <w:t>2023031401</w:t>
      </w:r>
    </w:p>
    <w:p>
      <w:pPr>
        <w:spacing w:line="360" w:lineRule="auto"/>
        <w:ind w:left="1620" w:leftChars="200" w:hanging="1200" w:hangingChars="5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szCs w:val="28"/>
          <w:highlight w:val="none"/>
        </w:rPr>
        <w:t>项目名称：</w:t>
      </w:r>
      <w:bookmarkEnd w:id="15"/>
      <w:r>
        <w:rPr>
          <w:rFonts w:hint="eastAsia" w:ascii="仿宋" w:hAnsi="仿宋" w:eastAsia="仿宋" w:cs="仿宋"/>
          <w:color w:val="auto"/>
          <w:sz w:val="24"/>
          <w:highlight w:val="none"/>
          <w:lang w:eastAsia="zh-CN"/>
        </w:rPr>
        <w:t>萧山区总工会宣传服务项目（2023年）</w:t>
      </w:r>
    </w:p>
    <w:p>
      <w:pPr>
        <w:spacing w:line="360" w:lineRule="auto"/>
        <w:ind w:left="420" w:leftChars="200"/>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预算金额：</w:t>
      </w:r>
      <w:r>
        <w:rPr>
          <w:rFonts w:hint="eastAsia" w:ascii="仿宋" w:hAnsi="仿宋" w:eastAsia="仿宋" w:cs="仿宋"/>
          <w:color w:val="auto"/>
          <w:sz w:val="24"/>
          <w:highlight w:val="none"/>
          <w:lang w:val="en-US" w:eastAsia="zh-CN"/>
        </w:rPr>
        <w:t>48.9800</w:t>
      </w:r>
      <w:r>
        <w:rPr>
          <w:rFonts w:hint="eastAsia" w:ascii="仿宋" w:hAnsi="仿宋" w:eastAsia="仿宋" w:cs="仿宋"/>
          <w:color w:val="auto"/>
          <w:sz w:val="24"/>
          <w:szCs w:val="28"/>
          <w:highlight w:val="none"/>
        </w:rPr>
        <w:t>万元</w:t>
      </w:r>
    </w:p>
    <w:p>
      <w:pPr>
        <w:spacing w:line="360" w:lineRule="auto"/>
        <w:ind w:left="420" w:leftChars="200"/>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最高限价：</w:t>
      </w:r>
      <w:r>
        <w:rPr>
          <w:rFonts w:hint="eastAsia" w:ascii="仿宋" w:hAnsi="仿宋" w:eastAsia="仿宋" w:cs="仿宋"/>
          <w:color w:val="auto"/>
          <w:sz w:val="24"/>
          <w:highlight w:val="none"/>
          <w:lang w:val="en-US" w:eastAsia="zh-CN"/>
        </w:rPr>
        <w:t>48.9800</w:t>
      </w:r>
      <w:r>
        <w:rPr>
          <w:rFonts w:hint="eastAsia" w:ascii="仿宋" w:hAnsi="仿宋" w:eastAsia="仿宋" w:cs="仿宋"/>
          <w:color w:val="auto"/>
          <w:sz w:val="24"/>
          <w:szCs w:val="28"/>
          <w:highlight w:val="none"/>
        </w:rPr>
        <w:t>万元</w:t>
      </w:r>
    </w:p>
    <w:p>
      <w:pPr>
        <w:spacing w:line="360" w:lineRule="auto"/>
        <w:ind w:left="420" w:leftChars="200"/>
        <w:jc w:val="left"/>
        <w:rPr>
          <w:rFonts w:hint="eastAsia" w:ascii="仿宋" w:hAnsi="仿宋" w:eastAsia="仿宋" w:cs="仿宋"/>
          <w:color w:val="auto"/>
          <w:sz w:val="24"/>
          <w:szCs w:val="28"/>
          <w:highlight w:val="none"/>
          <w:u w:val="single"/>
        </w:rPr>
      </w:pPr>
      <w:r>
        <w:rPr>
          <w:rFonts w:hint="eastAsia" w:ascii="仿宋" w:hAnsi="仿宋" w:eastAsia="仿宋" w:cs="仿宋"/>
          <w:color w:val="auto"/>
          <w:sz w:val="24"/>
          <w:szCs w:val="28"/>
          <w:highlight w:val="none"/>
        </w:rPr>
        <w:t>采购需求：详见交易需求。</w:t>
      </w:r>
    </w:p>
    <w:p>
      <w:pPr>
        <w:spacing w:line="360" w:lineRule="auto"/>
        <w:ind w:left="420" w:left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标项名称:</w:t>
      </w:r>
      <w:r>
        <w:rPr>
          <w:rFonts w:hint="eastAsia" w:ascii="仿宋" w:hAnsi="仿宋" w:eastAsia="仿宋" w:cs="仿宋"/>
          <w:color w:val="auto"/>
          <w:sz w:val="24"/>
          <w:highlight w:val="none"/>
          <w:lang w:eastAsia="zh-CN"/>
        </w:rPr>
        <w:t>萧山区总工会宣传服务项目（2023年）</w:t>
      </w:r>
    </w:p>
    <w:p>
      <w:pPr>
        <w:pStyle w:val="18"/>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数量：1项</w:t>
      </w:r>
    </w:p>
    <w:p>
      <w:pPr>
        <w:pStyle w:val="18"/>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预算金额：</w:t>
      </w:r>
      <w:r>
        <w:rPr>
          <w:rFonts w:hint="eastAsia" w:ascii="仿宋" w:hAnsi="仿宋" w:eastAsia="仿宋" w:cs="仿宋"/>
          <w:color w:val="auto"/>
          <w:sz w:val="24"/>
          <w:highlight w:val="none"/>
          <w:lang w:val="en-US" w:eastAsia="zh-CN"/>
        </w:rPr>
        <w:t>48.9800</w:t>
      </w:r>
      <w:r>
        <w:rPr>
          <w:rFonts w:hint="eastAsia" w:ascii="仿宋" w:hAnsi="仿宋" w:eastAsia="仿宋" w:cs="仿宋"/>
          <w:color w:val="auto"/>
          <w:sz w:val="24"/>
          <w:szCs w:val="28"/>
          <w:highlight w:val="none"/>
        </w:rPr>
        <w:t>万元</w:t>
      </w:r>
    </w:p>
    <w:p>
      <w:pPr>
        <w:pStyle w:val="18"/>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简要规格描述或项目基本概况介绍、用途：详见交易需求</w:t>
      </w:r>
    </w:p>
    <w:p>
      <w:pPr>
        <w:pStyle w:val="18"/>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p>
      <w:pPr>
        <w:pStyle w:val="18"/>
        <w:spacing w:line="360" w:lineRule="auto"/>
        <w:ind w:firstLine="48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合同履约期限：</w:t>
      </w:r>
      <w:r>
        <w:rPr>
          <w:rFonts w:hint="eastAsia" w:ascii="仿宋" w:hAnsi="仿宋" w:eastAsia="仿宋" w:cs="仿宋"/>
          <w:color w:val="auto"/>
          <w:sz w:val="24"/>
          <w:highlight w:val="none"/>
        </w:rPr>
        <w:t>详见交易需求</w:t>
      </w:r>
    </w:p>
    <w:p>
      <w:pPr>
        <w:spacing w:line="360" w:lineRule="auto"/>
        <w:ind w:firstLine="48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本项目是否接受联合体投标：（√）是；（）否</w:t>
      </w:r>
    </w:p>
    <w:p>
      <w:pPr>
        <w:pStyle w:val="5"/>
        <w:numPr>
          <w:ilvl w:val="0"/>
          <w:numId w:val="0"/>
        </w:numPr>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二、</w:t>
      </w:r>
      <w:bookmarkStart w:id="16" w:name="_Toc28359003"/>
      <w:bookmarkStart w:id="17" w:name="_Toc28359080"/>
      <w:bookmarkStart w:id="18" w:name="_Toc35393791"/>
      <w:bookmarkStart w:id="19" w:name="_Toc35393622"/>
      <w:r>
        <w:rPr>
          <w:rFonts w:hint="eastAsia" w:ascii="仿宋" w:hAnsi="仿宋" w:eastAsia="仿宋" w:cs="仿宋"/>
          <w:color w:val="auto"/>
          <w:sz w:val="24"/>
          <w:szCs w:val="28"/>
          <w:highlight w:val="none"/>
        </w:rPr>
        <w:t>申请人的资格要求：</w:t>
      </w:r>
      <w:bookmarkEnd w:id="16"/>
      <w:bookmarkEnd w:id="17"/>
      <w:bookmarkEnd w:id="18"/>
      <w:bookmarkEnd w:id="19"/>
    </w:p>
    <w:p>
      <w:pPr>
        <w:spacing w:line="360" w:lineRule="auto"/>
        <w:ind w:firstLine="480" w:firstLineChars="200"/>
        <w:rPr>
          <w:rFonts w:hint="eastAsia" w:ascii="仿宋" w:hAnsi="仿宋" w:eastAsia="仿宋" w:cs="仿宋"/>
          <w:color w:val="auto"/>
          <w:sz w:val="24"/>
          <w:highlight w:val="none"/>
        </w:rPr>
      </w:pPr>
      <w:bookmarkStart w:id="20" w:name="_Toc35393792"/>
      <w:bookmarkStart w:id="21" w:name="_Toc28359004"/>
      <w:bookmarkStart w:id="22" w:name="_Toc35393623"/>
      <w:bookmarkStart w:id="23" w:name="_Toc28359081"/>
      <w:r>
        <w:rPr>
          <w:rFonts w:hint="eastAsia" w:ascii="仿宋" w:hAnsi="仿宋" w:eastAsia="仿宋" w:cs="仿宋"/>
          <w:color w:val="auto"/>
          <w:sz w:val="24"/>
          <w:highlight w:val="none"/>
        </w:rPr>
        <w:t>1.满足《中华人民共和国政府采购法》第二十二条规定；</w:t>
      </w:r>
    </w:p>
    <w:p>
      <w:pPr>
        <w:pStyle w:val="5"/>
        <w:numPr>
          <w:ilvl w:val="0"/>
          <w:numId w:val="0"/>
        </w:numPr>
        <w:ind w:left="432"/>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2.单位负责人为同一人或者存在直接控股、管理关系的不同供应商，不得参加同一</w:t>
      </w:r>
    </w:p>
    <w:p>
      <w:pPr>
        <w:pStyle w:val="5"/>
        <w:numPr>
          <w:ilvl w:val="0"/>
          <w:numId w:val="0"/>
        </w:numPr>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合同项下的政府采购活动。</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.落实政府采购政策需满足的资格要求：（√）无；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.本项目的特定资格要求：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w:t>
      </w:r>
      <w:bookmarkStart w:id="437" w:name="_GoBack"/>
      <w:bookmarkEnd w:id="437"/>
      <w:r>
        <w:rPr>
          <w:rFonts w:hint="eastAsia" w:ascii="仿宋" w:hAnsi="仿宋" w:eastAsia="仿宋" w:cs="仿宋"/>
          <w:color w:val="auto"/>
          <w:sz w:val="24"/>
          <w:highlight w:val="none"/>
        </w:rPr>
        <w:t>）无；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（）专门面向中小企业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）货物全部由符合政策要求的小微企业制造，提供中小企业声明函；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）服务全部由符合政策要求的中小企业承接，提供中小企业声明函；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）服务全部由符合政策要求的小微企业承接，提供中小企业声明函；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spacing w:line="360" w:lineRule="auto"/>
        <w:ind w:firstLine="480" w:firstLineChars="200"/>
        <w:rPr>
          <w:rFonts w:hint="eastAsia" w:ascii="仿宋" w:hAnsi="仿宋" w:eastAsia="仿宋" w:cs="仿宋"/>
          <w:color w:val="auto"/>
          <w:sz w:val="24"/>
          <w:highlight w:val="none"/>
        </w:rPr>
      </w:pPr>
    </w:p>
    <w:p>
      <w:pPr>
        <w:pStyle w:val="5"/>
        <w:numPr>
          <w:ilvl w:val="0"/>
          <w:numId w:val="0"/>
        </w:numPr>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三、获取交易文件</w:t>
      </w:r>
      <w:bookmarkEnd w:id="20"/>
      <w:bookmarkEnd w:id="21"/>
      <w:bookmarkEnd w:id="22"/>
      <w:bookmarkEnd w:id="23"/>
    </w:p>
    <w:p>
      <w:pPr>
        <w:spacing w:line="360" w:lineRule="auto"/>
        <w:ind w:firstLine="482" w:firstLineChars="200"/>
        <w:rPr>
          <w:rFonts w:hint="eastAsia" w:ascii="仿宋" w:hAnsi="仿宋" w:eastAsia="仿宋" w:cs="仿宋"/>
          <w:color w:val="auto"/>
          <w:sz w:val="24"/>
          <w:highlight w:val="none"/>
        </w:rPr>
      </w:pPr>
      <w:bookmarkStart w:id="24" w:name="_Toc28359005"/>
      <w:bookmarkStart w:id="25" w:name="_Toc28359082"/>
      <w:bookmarkStart w:id="26" w:name="_Toc35393624"/>
      <w:bookmarkStart w:id="27" w:name="_Toc35393793"/>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政采云平台（https://www.zcygov.cn/）</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供应商登录政采云平台https://www.zcygov.cn/在线申请获取采购文件（进入“项目采购”应用，在获取采购文件菜单中选择项目，申请获取采购文件）。</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0</w:t>
      </w:r>
      <w:r>
        <w:rPr>
          <w:rFonts w:hint="eastAsia" w:ascii="仿宋" w:hAnsi="仿宋" w:eastAsia="仿宋" w:cs="仿宋"/>
          <w:color w:val="auto"/>
          <w:sz w:val="24"/>
          <w:highlight w:val="none"/>
        </w:rPr>
        <w:tab/>
      </w:r>
    </w:p>
    <w:p>
      <w:pPr>
        <w:pStyle w:val="5"/>
        <w:numPr>
          <w:ilvl w:val="0"/>
          <w:numId w:val="0"/>
        </w:numPr>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四、提交投标文件</w:t>
      </w:r>
      <w:bookmarkEnd w:id="24"/>
      <w:bookmarkEnd w:id="25"/>
      <w:r>
        <w:rPr>
          <w:rFonts w:hint="eastAsia" w:ascii="仿宋" w:hAnsi="仿宋" w:eastAsia="仿宋" w:cs="仿宋"/>
          <w:color w:val="auto"/>
          <w:sz w:val="24"/>
          <w:szCs w:val="28"/>
          <w:highlight w:val="none"/>
        </w:rPr>
        <w:t>截止时间、开标时间和地点</w:t>
      </w:r>
      <w:bookmarkEnd w:id="26"/>
      <w:bookmarkEnd w:id="27"/>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szCs w:val="28"/>
          <w:highlight w:val="none"/>
        </w:rPr>
        <w:t>202</w:t>
      </w:r>
      <w:r>
        <w:rPr>
          <w:rFonts w:hint="eastAsia" w:ascii="仿宋" w:hAnsi="仿宋" w:eastAsia="仿宋" w:cs="仿宋"/>
          <w:color w:val="auto"/>
          <w:sz w:val="24"/>
          <w:szCs w:val="28"/>
          <w:highlight w:val="none"/>
          <w:lang w:val="en-US" w:eastAsia="zh-CN"/>
        </w:rPr>
        <w:t>3</w:t>
      </w:r>
      <w:r>
        <w:rPr>
          <w:rFonts w:hint="eastAsia" w:ascii="仿宋" w:hAnsi="仿宋" w:eastAsia="仿宋" w:cs="仿宋"/>
          <w:color w:val="auto"/>
          <w:sz w:val="24"/>
          <w:szCs w:val="28"/>
          <w:highlight w:val="none"/>
        </w:rPr>
        <w:t>年</w:t>
      </w:r>
      <w:r>
        <w:rPr>
          <w:rFonts w:hint="eastAsia" w:ascii="仿宋" w:hAnsi="仿宋" w:eastAsia="仿宋" w:cs="仿宋"/>
          <w:color w:val="auto"/>
          <w:sz w:val="24"/>
          <w:szCs w:val="28"/>
          <w:highlight w:val="none"/>
          <w:lang w:val="en-US" w:eastAsia="zh-CN"/>
        </w:rPr>
        <w:t xml:space="preserve">  </w:t>
      </w:r>
      <w:r>
        <w:rPr>
          <w:rFonts w:hint="eastAsia" w:ascii="仿宋" w:hAnsi="仿宋" w:eastAsia="仿宋" w:cs="仿宋"/>
          <w:color w:val="auto"/>
          <w:sz w:val="24"/>
          <w:szCs w:val="28"/>
          <w:highlight w:val="none"/>
        </w:rPr>
        <w:t>月</w:t>
      </w:r>
      <w:r>
        <w:rPr>
          <w:rFonts w:hint="eastAsia" w:ascii="仿宋" w:hAnsi="仿宋" w:eastAsia="仿宋" w:cs="仿宋"/>
          <w:color w:val="auto"/>
          <w:sz w:val="24"/>
          <w:szCs w:val="28"/>
          <w:highlight w:val="none"/>
          <w:lang w:val="en-US" w:eastAsia="zh-CN"/>
        </w:rPr>
        <w:t xml:space="preserve">  </w:t>
      </w:r>
      <w:r>
        <w:rPr>
          <w:rFonts w:hint="eastAsia" w:ascii="仿宋" w:hAnsi="仿宋" w:eastAsia="仿宋" w:cs="仿宋"/>
          <w:color w:val="auto"/>
          <w:sz w:val="24"/>
          <w:szCs w:val="28"/>
          <w:highlight w:val="none"/>
        </w:rPr>
        <w:t>日</w:t>
      </w:r>
      <w:r>
        <w:rPr>
          <w:rFonts w:hint="eastAsia" w:ascii="仿宋" w:hAnsi="仿宋" w:eastAsia="仿宋" w:cs="仿宋"/>
          <w:color w:val="auto"/>
          <w:sz w:val="24"/>
          <w:szCs w:val="28"/>
          <w:highlight w:val="none"/>
          <w:lang w:val="en-US" w:eastAsia="zh-CN"/>
        </w:rPr>
        <w:t>14</w:t>
      </w:r>
      <w:r>
        <w:rPr>
          <w:rFonts w:hint="eastAsia" w:ascii="仿宋" w:hAnsi="仿宋" w:eastAsia="仿宋" w:cs="仿宋"/>
          <w:color w:val="auto"/>
          <w:sz w:val="24"/>
          <w:szCs w:val="28"/>
          <w:highlight w:val="none"/>
        </w:rPr>
        <w:t>点30分00秒（</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开标时间：</w:t>
      </w:r>
      <w:r>
        <w:rPr>
          <w:rFonts w:hint="eastAsia" w:ascii="仿宋" w:hAnsi="仿宋" w:eastAsia="仿宋" w:cs="仿宋"/>
          <w:color w:val="auto"/>
          <w:sz w:val="24"/>
          <w:szCs w:val="28"/>
          <w:highlight w:val="none"/>
        </w:rPr>
        <w:t>202</w:t>
      </w:r>
      <w:r>
        <w:rPr>
          <w:rFonts w:hint="eastAsia" w:ascii="仿宋" w:hAnsi="仿宋" w:eastAsia="仿宋" w:cs="仿宋"/>
          <w:color w:val="auto"/>
          <w:sz w:val="24"/>
          <w:szCs w:val="28"/>
          <w:highlight w:val="none"/>
          <w:lang w:val="en-US" w:eastAsia="zh-CN"/>
        </w:rPr>
        <w:t>3</w:t>
      </w:r>
      <w:r>
        <w:rPr>
          <w:rFonts w:hint="eastAsia" w:ascii="仿宋" w:hAnsi="仿宋" w:eastAsia="仿宋" w:cs="仿宋"/>
          <w:color w:val="auto"/>
          <w:sz w:val="24"/>
          <w:szCs w:val="28"/>
          <w:highlight w:val="none"/>
        </w:rPr>
        <w:t>年</w:t>
      </w:r>
      <w:r>
        <w:rPr>
          <w:rFonts w:hint="eastAsia" w:ascii="仿宋" w:hAnsi="仿宋" w:eastAsia="仿宋" w:cs="仿宋"/>
          <w:color w:val="auto"/>
          <w:sz w:val="24"/>
          <w:szCs w:val="28"/>
          <w:highlight w:val="none"/>
          <w:lang w:val="en-US" w:eastAsia="zh-CN"/>
        </w:rPr>
        <w:t xml:space="preserve">  </w:t>
      </w:r>
      <w:r>
        <w:rPr>
          <w:rFonts w:hint="eastAsia" w:ascii="仿宋" w:hAnsi="仿宋" w:eastAsia="仿宋" w:cs="仿宋"/>
          <w:color w:val="auto"/>
          <w:sz w:val="24"/>
          <w:szCs w:val="28"/>
          <w:highlight w:val="none"/>
        </w:rPr>
        <w:t>月</w:t>
      </w:r>
      <w:r>
        <w:rPr>
          <w:rFonts w:hint="eastAsia" w:ascii="仿宋" w:hAnsi="仿宋" w:eastAsia="仿宋" w:cs="仿宋"/>
          <w:color w:val="auto"/>
          <w:sz w:val="24"/>
          <w:szCs w:val="28"/>
          <w:highlight w:val="none"/>
          <w:lang w:val="en-US" w:eastAsia="zh-CN"/>
        </w:rPr>
        <w:t xml:space="preserve">  </w:t>
      </w:r>
      <w:r>
        <w:rPr>
          <w:rFonts w:hint="eastAsia" w:ascii="仿宋" w:hAnsi="仿宋" w:eastAsia="仿宋" w:cs="仿宋"/>
          <w:color w:val="auto"/>
          <w:sz w:val="24"/>
          <w:szCs w:val="28"/>
          <w:highlight w:val="none"/>
        </w:rPr>
        <w:t>日</w:t>
      </w:r>
      <w:r>
        <w:rPr>
          <w:rFonts w:hint="eastAsia" w:ascii="仿宋" w:hAnsi="仿宋" w:eastAsia="仿宋" w:cs="仿宋"/>
          <w:color w:val="auto"/>
          <w:sz w:val="24"/>
          <w:szCs w:val="28"/>
          <w:highlight w:val="none"/>
          <w:lang w:val="en-US" w:eastAsia="zh-CN"/>
        </w:rPr>
        <w:t>14</w:t>
      </w:r>
      <w:r>
        <w:rPr>
          <w:rFonts w:hint="eastAsia" w:ascii="仿宋" w:hAnsi="仿宋" w:eastAsia="仿宋" w:cs="仿宋"/>
          <w:color w:val="auto"/>
          <w:sz w:val="24"/>
          <w:szCs w:val="28"/>
          <w:highlight w:val="none"/>
        </w:rPr>
        <w:t>点30分00秒</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w:t>
      </w:r>
      <w:r>
        <w:rPr>
          <w:rFonts w:hint="eastAsia" w:ascii="仿宋" w:hAnsi="仿宋" w:eastAsia="仿宋" w:cs="仿宋"/>
          <w:color w:val="auto"/>
          <w:sz w:val="24"/>
          <w:szCs w:val="28"/>
          <w:highlight w:val="none"/>
          <w:lang w:eastAsia="zh-CN"/>
        </w:rPr>
        <w:t>乐</w:t>
      </w:r>
      <w:r>
        <w:rPr>
          <w:rFonts w:hint="eastAsia" w:ascii="仿宋" w:hAnsi="仿宋" w:eastAsia="仿宋" w:cs="仿宋"/>
          <w:color w:val="auto"/>
          <w:sz w:val="24"/>
          <w:szCs w:val="28"/>
          <w:highlight w:val="none"/>
        </w:rPr>
        <w:t>采云平台网上递交。</w:t>
      </w:r>
    </w:p>
    <w:p>
      <w:pPr>
        <w:pStyle w:val="5"/>
        <w:numPr>
          <w:ilvl w:val="0"/>
          <w:numId w:val="0"/>
        </w:numPr>
        <w:rPr>
          <w:rFonts w:hint="eastAsia" w:ascii="仿宋" w:hAnsi="仿宋" w:eastAsia="仿宋" w:cs="仿宋"/>
          <w:color w:val="auto"/>
          <w:sz w:val="24"/>
          <w:szCs w:val="28"/>
          <w:highlight w:val="none"/>
        </w:rPr>
      </w:pPr>
      <w:bookmarkStart w:id="28" w:name="_Toc35393794"/>
      <w:bookmarkStart w:id="29" w:name="_Toc28359007"/>
      <w:bookmarkStart w:id="30" w:name="_Toc35393625"/>
      <w:bookmarkStart w:id="31" w:name="_Toc28359084"/>
      <w:r>
        <w:rPr>
          <w:rFonts w:hint="eastAsia" w:ascii="仿宋" w:hAnsi="仿宋" w:eastAsia="仿宋" w:cs="仿宋"/>
          <w:color w:val="auto"/>
          <w:sz w:val="24"/>
          <w:szCs w:val="28"/>
          <w:highlight w:val="none"/>
        </w:rPr>
        <w:t>五、公告期限</w:t>
      </w:r>
      <w:bookmarkEnd w:id="28"/>
      <w:bookmarkEnd w:id="29"/>
      <w:bookmarkEnd w:id="30"/>
      <w:bookmarkEnd w:id="31"/>
    </w:p>
    <w:p>
      <w:pPr>
        <w:spacing w:line="360" w:lineRule="auto"/>
        <w:ind w:firstLine="480" w:firstLineChars="200"/>
        <w:jc w:val="left"/>
        <w:rPr>
          <w:rFonts w:hint="eastAsia" w:ascii="仿宋" w:hAnsi="仿宋" w:eastAsia="仿宋" w:cs="仿宋"/>
          <w:color w:val="auto"/>
          <w:kern w:val="0"/>
          <w:sz w:val="24"/>
          <w:szCs w:val="28"/>
          <w:highlight w:val="none"/>
        </w:rPr>
      </w:pPr>
      <w:r>
        <w:rPr>
          <w:rFonts w:hint="eastAsia" w:ascii="仿宋" w:hAnsi="仿宋" w:eastAsia="仿宋" w:cs="仿宋"/>
          <w:color w:val="auto"/>
          <w:kern w:val="0"/>
          <w:sz w:val="24"/>
          <w:szCs w:val="28"/>
          <w:highlight w:val="none"/>
        </w:rPr>
        <w:t>自本公告发布之日起5个工作日。</w:t>
      </w:r>
    </w:p>
    <w:p>
      <w:pPr>
        <w:pStyle w:val="5"/>
        <w:numPr>
          <w:ilvl w:val="0"/>
          <w:numId w:val="0"/>
        </w:numPr>
        <w:rPr>
          <w:rFonts w:hint="eastAsia" w:ascii="仿宋" w:hAnsi="仿宋" w:eastAsia="仿宋" w:cs="仿宋"/>
          <w:color w:val="auto"/>
          <w:sz w:val="24"/>
          <w:szCs w:val="28"/>
          <w:highlight w:val="none"/>
        </w:rPr>
      </w:pPr>
      <w:bookmarkStart w:id="32" w:name="_Toc35393626"/>
      <w:bookmarkStart w:id="33" w:name="_Toc35393795"/>
      <w:r>
        <w:rPr>
          <w:rFonts w:hint="eastAsia" w:ascii="仿宋" w:hAnsi="仿宋" w:eastAsia="仿宋" w:cs="仿宋"/>
          <w:color w:val="auto"/>
          <w:sz w:val="24"/>
          <w:szCs w:val="28"/>
          <w:highlight w:val="none"/>
        </w:rPr>
        <w:t>六、其他补充事宜</w:t>
      </w:r>
      <w:bookmarkEnd w:id="32"/>
      <w:bookmarkEnd w:id="33"/>
    </w:p>
    <w:p>
      <w:pPr>
        <w:spacing w:line="360" w:lineRule="auto"/>
        <w:ind w:firstLine="480" w:firstLineChars="200"/>
        <w:rPr>
          <w:rFonts w:hint="eastAsia" w:ascii="仿宋" w:hAnsi="仿宋" w:eastAsia="仿宋" w:cs="仿宋"/>
          <w:color w:val="auto"/>
          <w:sz w:val="24"/>
          <w:highlight w:val="none"/>
        </w:rPr>
      </w:pPr>
      <w:bookmarkStart w:id="34" w:name="_Toc35393627"/>
      <w:bookmarkStart w:id="35" w:name="_Toc28359085"/>
      <w:bookmarkStart w:id="36" w:name="_Toc28359008"/>
      <w:bookmarkStart w:id="37" w:name="_Toc35393796"/>
      <w:r>
        <w:rPr>
          <w:rFonts w:hint="eastAsia" w:ascii="仿宋" w:hAnsi="仿宋" w:eastAsia="仿宋" w:cs="仿宋"/>
          <w:color w:val="auto"/>
          <w:sz w:val="24"/>
          <w:highlight w:val="none"/>
        </w:rPr>
        <w:t>1.供应商认为交易文件使自己的权益受到损害的，可以自获取交易文件之日或者交易文件公告期限届满之日（公告期限届满后获取交易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2.需要落实的政府采购政策：包括节约资源、保护环境、支持创新、促进中小企业发展等。详见交易文件的第二部分总则。</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电子招投标的说明:1）电子招投标：本项目以数据电文形式，依托“政府采购云平台（www.zcygov.cn）”进行招投标活动，不接受纸质投标文件。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交易文件的获取：使用账号登录或者使用CA登录政采云平台；进入“项目采购”应用，在获取采购文件菜单中选择项目，获取交易文件。4）投标文件的制作：在“政采云电子交易客户端”中完成“填写基本信息”、“导入投标文件”、“标书关联”、“标书检查”、“电子签章”、“生成电子标书”等操作。5）采购人、采购机构将依托政采云平台完成本项目的电子交易活动，平台不接受未按上述方式获取交易文件的供应商进行投标活动。6）对未按上述方式获取交易文件的供应商对该文件提出的质疑，采购人或采购代理机构将不予处理。7）不提供交易文件纸质版。8）投标文件的传输递交：供应商在投标截止时间前将加密的投标文件上传至政府采购云平台，还可以在投标截止时间前直接提交。备份投标文件的制作、存储、密封详见交易文件第二部分。9）投标文件的解密：供应商按照平台提示和交易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供应商仅提交备份投标文件，没有在电子交易平台传输递交投标文件的，投标无效。10）具体操作指南：详见政采云平台“服务中心-帮助文档-项目采购-操作流程-电子招投标-政府采购项目电子交易管理操作指南-供应商”。</w:t>
      </w:r>
    </w:p>
    <w:p>
      <w:pPr>
        <w:pStyle w:val="5"/>
        <w:numPr>
          <w:ilvl w:val="0"/>
          <w:numId w:val="0"/>
        </w:numPr>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七、对本次交易提出询问，请按以下方式联系。</w:t>
      </w:r>
      <w:bookmarkEnd w:id="34"/>
      <w:bookmarkEnd w:id="35"/>
      <w:bookmarkEnd w:id="36"/>
      <w:bookmarkEnd w:id="37"/>
    </w:p>
    <w:p>
      <w:pPr>
        <w:widowControl/>
        <w:spacing w:line="360" w:lineRule="auto"/>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1.采购人信息</w:t>
      </w:r>
    </w:p>
    <w:p>
      <w:pPr>
        <w:spacing w:line="360" w:lineRule="auto"/>
        <w:jc w:val="left"/>
        <w:rPr>
          <w:rFonts w:hint="default" w:ascii="仿宋" w:hAnsi="仿宋" w:eastAsia="仿宋" w:cs="仿宋"/>
          <w:color w:val="auto"/>
          <w:sz w:val="24"/>
          <w:szCs w:val="28"/>
          <w:highlight w:val="none"/>
          <w:lang w:val="en-US" w:eastAsia="zh-CN"/>
        </w:rPr>
      </w:pPr>
      <w:r>
        <w:rPr>
          <w:rFonts w:hint="eastAsia" w:ascii="仿宋" w:hAnsi="仿宋" w:eastAsia="仿宋" w:cs="仿宋"/>
          <w:color w:val="auto"/>
          <w:sz w:val="24"/>
          <w:szCs w:val="28"/>
          <w:highlight w:val="none"/>
        </w:rPr>
        <w:t>名称：</w:t>
      </w:r>
      <w:r>
        <w:rPr>
          <w:rFonts w:hint="eastAsia" w:ascii="仿宋" w:hAnsi="仿宋" w:eastAsia="仿宋" w:cs="仿宋"/>
          <w:color w:val="auto"/>
          <w:sz w:val="24"/>
          <w:szCs w:val="28"/>
          <w:highlight w:val="none"/>
          <w:lang w:eastAsia="zh-CN"/>
        </w:rPr>
        <w:t>杭州市萧山区总工会</w:t>
      </w:r>
      <w:r>
        <w:rPr>
          <w:rFonts w:hint="eastAsia" w:ascii="仿宋" w:hAnsi="仿宋" w:eastAsia="仿宋" w:cs="仿宋"/>
          <w:color w:val="auto"/>
          <w:sz w:val="24"/>
          <w:szCs w:val="28"/>
          <w:highlight w:val="none"/>
        </w:rPr>
        <w:t>地址：</w:t>
      </w:r>
      <w:r>
        <w:rPr>
          <w:rFonts w:hint="eastAsia" w:ascii="仿宋" w:hAnsi="仿宋" w:eastAsia="仿宋" w:cs="仿宋"/>
          <w:color w:val="auto"/>
          <w:sz w:val="24"/>
          <w:szCs w:val="28"/>
          <w:highlight w:val="none"/>
          <w:lang w:eastAsia="zh-CN"/>
        </w:rPr>
        <w:t>萧山区金城路</w:t>
      </w:r>
      <w:r>
        <w:rPr>
          <w:rFonts w:hint="eastAsia" w:ascii="仿宋" w:hAnsi="仿宋" w:eastAsia="仿宋" w:cs="仿宋"/>
          <w:color w:val="auto"/>
          <w:sz w:val="24"/>
          <w:szCs w:val="28"/>
          <w:highlight w:val="none"/>
          <w:lang w:val="en-US" w:eastAsia="zh-CN"/>
        </w:rPr>
        <w:t>39号紫橙国际商务中心</w:t>
      </w:r>
    </w:p>
    <w:p>
      <w:pPr>
        <w:spacing w:line="360" w:lineRule="auto"/>
        <w:jc w:val="left"/>
        <w:rPr>
          <w:rFonts w:hint="eastAsia" w:ascii="仿宋" w:hAnsi="仿宋" w:eastAsia="仿宋" w:cs="仿宋"/>
          <w:color w:val="auto"/>
          <w:sz w:val="24"/>
          <w:szCs w:val="28"/>
          <w:highlight w:val="none"/>
          <w:lang w:eastAsia="zh-CN"/>
        </w:rPr>
      </w:pPr>
      <w:r>
        <w:rPr>
          <w:rFonts w:hint="eastAsia" w:ascii="仿宋" w:hAnsi="仿宋" w:eastAsia="仿宋" w:cs="仿宋"/>
          <w:color w:val="auto"/>
          <w:sz w:val="24"/>
          <w:szCs w:val="28"/>
          <w:highlight w:val="none"/>
        </w:rPr>
        <w:t>项目联系人（询问）：</w:t>
      </w:r>
      <w:r>
        <w:rPr>
          <w:rFonts w:hint="eastAsia" w:ascii="仿宋" w:hAnsi="仿宋" w:eastAsia="仿宋" w:cs="仿宋"/>
          <w:color w:val="auto"/>
          <w:sz w:val="24"/>
          <w:szCs w:val="28"/>
          <w:highlight w:val="none"/>
          <w:lang w:eastAsia="zh-CN"/>
        </w:rPr>
        <w:t>郎茂峰</w:t>
      </w:r>
    </w:p>
    <w:p>
      <w:pPr>
        <w:spacing w:line="360" w:lineRule="auto"/>
        <w:jc w:val="left"/>
        <w:rPr>
          <w:rFonts w:hint="default" w:ascii="仿宋" w:hAnsi="仿宋" w:eastAsia="仿宋" w:cs="仿宋"/>
          <w:color w:val="auto"/>
          <w:sz w:val="24"/>
          <w:szCs w:val="28"/>
          <w:highlight w:val="none"/>
          <w:lang w:val="en-US" w:eastAsia="zh-CN"/>
        </w:rPr>
      </w:pPr>
      <w:r>
        <w:rPr>
          <w:rFonts w:hint="eastAsia" w:ascii="仿宋" w:hAnsi="仿宋" w:eastAsia="仿宋" w:cs="仿宋"/>
          <w:color w:val="auto"/>
          <w:sz w:val="24"/>
          <w:szCs w:val="28"/>
          <w:highlight w:val="none"/>
        </w:rPr>
        <w:t>项目联系方式（询问）：0571-</w:t>
      </w:r>
      <w:r>
        <w:rPr>
          <w:rFonts w:hint="eastAsia" w:ascii="仿宋" w:hAnsi="仿宋" w:eastAsia="仿宋" w:cs="仿宋"/>
          <w:color w:val="auto"/>
          <w:sz w:val="24"/>
          <w:szCs w:val="28"/>
          <w:highlight w:val="none"/>
          <w:lang w:val="en-US" w:eastAsia="zh-CN"/>
        </w:rPr>
        <w:t>83712016</w:t>
      </w:r>
    </w:p>
    <w:p>
      <w:pPr>
        <w:spacing w:line="360" w:lineRule="auto"/>
        <w:jc w:val="left"/>
        <w:rPr>
          <w:rFonts w:hint="eastAsia" w:ascii="仿宋" w:hAnsi="仿宋" w:eastAsia="仿宋" w:cs="仿宋"/>
          <w:color w:val="auto"/>
          <w:sz w:val="24"/>
          <w:szCs w:val="28"/>
          <w:highlight w:val="none"/>
        </w:rPr>
      </w:pPr>
      <w:bookmarkStart w:id="38" w:name="_Toc28359086"/>
      <w:bookmarkStart w:id="39" w:name="_Toc28359009"/>
      <w:r>
        <w:rPr>
          <w:rFonts w:hint="eastAsia" w:ascii="仿宋" w:hAnsi="仿宋" w:eastAsia="仿宋" w:cs="仿宋"/>
          <w:color w:val="auto"/>
          <w:sz w:val="24"/>
          <w:szCs w:val="28"/>
          <w:highlight w:val="none"/>
        </w:rPr>
        <w:t>2.采购代理机构信息</w:t>
      </w:r>
      <w:bookmarkEnd w:id="38"/>
      <w:bookmarkEnd w:id="39"/>
    </w:p>
    <w:p>
      <w:pPr>
        <w:spacing w:line="360" w:lineRule="auto"/>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名称：浙江华域高宇项目管理有限公司</w:t>
      </w:r>
    </w:p>
    <w:p>
      <w:pPr>
        <w:spacing w:line="360" w:lineRule="auto"/>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地址：萧山区北干街道金城路560号心意广场2幢1101室</w:t>
      </w:r>
    </w:p>
    <w:p>
      <w:pPr>
        <w:spacing w:line="360" w:lineRule="auto"/>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项目联系人（询问）：</w:t>
      </w:r>
      <w:r>
        <w:rPr>
          <w:rFonts w:hint="eastAsia" w:ascii="仿宋" w:hAnsi="仿宋" w:eastAsia="仿宋" w:cs="仿宋"/>
          <w:color w:val="auto"/>
          <w:sz w:val="24"/>
          <w:szCs w:val="28"/>
          <w:highlight w:val="none"/>
          <w:lang w:val="en-US" w:eastAsia="zh-CN"/>
        </w:rPr>
        <w:t>汪路易</w:t>
      </w:r>
      <w:r>
        <w:rPr>
          <w:rFonts w:hint="eastAsia" w:ascii="仿宋" w:hAnsi="仿宋" w:eastAsia="仿宋" w:cs="仿宋"/>
          <w:color w:val="auto"/>
          <w:sz w:val="24"/>
          <w:szCs w:val="28"/>
          <w:highlight w:val="none"/>
          <w:lang w:val="en-US" w:eastAsia="zh-CN"/>
        </w:rPr>
        <w:tab/>
      </w:r>
      <w:r>
        <w:rPr>
          <w:rFonts w:hint="eastAsia" w:ascii="仿宋" w:hAnsi="仿宋" w:eastAsia="仿宋" w:cs="仿宋"/>
          <w:color w:val="auto"/>
          <w:sz w:val="24"/>
          <w:szCs w:val="28"/>
          <w:highlight w:val="none"/>
          <w:lang w:val="en-US" w:eastAsia="zh-CN"/>
        </w:rPr>
        <w:tab/>
      </w:r>
    </w:p>
    <w:p>
      <w:pPr>
        <w:spacing w:line="360" w:lineRule="auto"/>
        <w:jc w:val="lef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项目联系方式（询问）：1</w:t>
      </w:r>
      <w:r>
        <w:rPr>
          <w:rFonts w:hint="eastAsia" w:ascii="仿宋" w:hAnsi="仿宋" w:eastAsia="仿宋" w:cs="仿宋"/>
          <w:color w:val="auto"/>
          <w:sz w:val="24"/>
          <w:szCs w:val="28"/>
          <w:highlight w:val="none"/>
          <w:lang w:val="en-US" w:eastAsia="zh-CN"/>
        </w:rPr>
        <w:t>7816099181</w:t>
      </w:r>
    </w:p>
    <w:p>
      <w:pPr>
        <w:wordWrap w:val="0"/>
        <w:spacing w:line="360" w:lineRule="auto"/>
        <w:ind w:firstLine="480" w:firstLineChars="200"/>
        <w:jc w:val="left"/>
        <w:rPr>
          <w:rFonts w:hint="eastAsia" w:ascii="仿宋" w:hAnsi="仿宋" w:eastAsia="仿宋" w:cs="仿宋"/>
          <w:color w:val="auto"/>
          <w:sz w:val="24"/>
          <w:highlight w:val="none"/>
        </w:rPr>
      </w:pPr>
    </w:p>
    <w:p>
      <w:pPr>
        <w:wordWrap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
        <w:rPr>
          <w:rFonts w:hint="eastAsia" w:ascii="仿宋" w:hAnsi="仿宋" w:eastAsia="仿宋" w:cs="仿宋"/>
          <w:color w:val="auto"/>
          <w:highlight w:val="none"/>
        </w:rPr>
      </w:pPr>
      <w:r>
        <w:rPr>
          <w:rFonts w:hint="eastAsia" w:ascii="仿宋" w:hAnsi="仿宋" w:eastAsia="仿宋" w:cs="仿宋"/>
          <w:color w:val="auto"/>
          <w:highlight w:val="none"/>
        </w:rPr>
        <w:t>第二部分</w:t>
      </w:r>
      <w:bookmarkEnd w:id="8"/>
      <w:r>
        <w:rPr>
          <w:rFonts w:hint="eastAsia" w:ascii="仿宋" w:hAnsi="仿宋" w:eastAsia="仿宋" w:cs="仿宋"/>
          <w:color w:val="auto"/>
          <w:highlight w:val="none"/>
        </w:rPr>
        <w:t>供应商须知</w:t>
      </w:r>
      <w:bookmarkEnd w:id="9"/>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559"/>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593"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有关本项目开展所需的</w:t>
            </w:r>
            <w:r>
              <w:rPr>
                <w:rFonts w:hint="eastAsia" w:ascii="仿宋" w:hAnsi="仿宋" w:eastAsia="仿宋" w:cs="仿宋"/>
                <w:b/>
                <w:color w:val="auto"/>
                <w:kern w:val="0"/>
                <w:sz w:val="24"/>
                <w:highlight w:val="none"/>
              </w:rPr>
              <w:t>所有</w:t>
            </w:r>
            <w:r>
              <w:rPr>
                <w:rFonts w:hint="eastAsia" w:ascii="仿宋" w:hAnsi="仿宋" w:eastAsia="仿宋" w:cs="仿宋"/>
                <w:b/>
                <w:color w:val="auto"/>
                <w:kern w:val="0"/>
                <w:sz w:val="24"/>
                <w:highlight w:val="none"/>
                <w:lang w:val="zh-CN"/>
              </w:rPr>
              <w:t>费用均计入报价。</w:t>
            </w:r>
            <w:r>
              <w:rPr>
                <w:rFonts w:hint="eastAsia" w:ascii="仿宋" w:hAnsi="仿宋" w:eastAsia="仿宋" w:cs="仿宋"/>
                <w:b/>
                <w:color w:val="auto"/>
                <w:kern w:val="0"/>
                <w:sz w:val="24"/>
                <w:highlight w:val="none"/>
              </w:rPr>
              <w:t>《投标（开标）一览表》是报价的唯一载体</w:t>
            </w:r>
            <w:r>
              <w:rPr>
                <w:rFonts w:hint="eastAsia" w:ascii="仿宋" w:hAnsi="仿宋" w:eastAsia="仿宋" w:cs="仿宋"/>
                <w:b/>
                <w:color w:val="auto"/>
                <w:kern w:val="0"/>
                <w:sz w:val="24"/>
                <w:highlight w:val="none"/>
                <w:lang w:val="zh-CN"/>
              </w:rPr>
              <w:t>。投标文件中价格全部采用人民币报价。交易文件未列明，而供应商认为必需的费用也需列入报价。</w:t>
            </w:r>
          </w:p>
          <w:p>
            <w:pPr>
              <w:spacing w:line="360" w:lineRule="auto"/>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pacing w:line="360" w:lineRule="auto"/>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rPr>
              <w:t>▲</w:t>
            </w:r>
            <w:r>
              <w:rPr>
                <w:rFonts w:hint="eastAsia" w:ascii="仿宋" w:hAnsi="仿宋" w:eastAsia="仿宋" w:cs="仿宋"/>
                <w:b/>
                <w:color w:val="auto"/>
                <w:kern w:val="0"/>
                <w:sz w:val="24"/>
                <w:highlight w:val="none"/>
                <w:lang w:val="zh-CN"/>
              </w:rPr>
              <w:t>投标文件出现不是唯一的、有选择性投标报价的；</w:t>
            </w:r>
          </w:p>
          <w:p>
            <w:pPr>
              <w:spacing w:line="360" w:lineRule="auto"/>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rPr>
              <w:t>▲投标报价高于本项目采购预算或者最高限价的;</w:t>
            </w:r>
          </w:p>
          <w:p>
            <w:pPr>
              <w:spacing w:line="360" w:lineRule="auto"/>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▲报价明显低于其他通过符合性审查供应商的报价，有可能影响产品质量或者不能诚信履约的，未能按要求提供书面说明或者提交相关证明材料，不能证明其报价合理性的;</w:t>
            </w:r>
          </w:p>
          <w:p>
            <w:pPr>
              <w:spacing w:line="360" w:lineRule="auto"/>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▲《投标（开标）一览表》填写不完整或字迹不能辨认或有漏项的；</w:t>
            </w:r>
          </w:p>
          <w:p>
            <w:pPr>
              <w:spacing w:line="360" w:lineRule="auto"/>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▲供应商对根据修正原则修正后的报价不确认的。</w:t>
            </w:r>
          </w:p>
          <w:p>
            <w:pPr>
              <w:spacing w:line="360" w:lineRule="auto"/>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▲资格文件、商务技术文件与报价文件未分开制作。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分包或转包。</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本项目不允许分包或转包。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15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供应商应当提供的资格、资信证明等文件</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（1）资格证明文件：</w:t>
            </w:r>
            <w:r>
              <w:rPr>
                <w:rFonts w:hint="eastAsia" w:ascii="仿宋" w:hAnsi="仿宋" w:eastAsia="仿宋" w:cs="仿宋"/>
                <w:color w:val="auto"/>
                <w:kern w:val="0"/>
                <w:sz w:val="24"/>
                <w:highlight w:val="none"/>
              </w:rPr>
              <w:t>见交易文件第二部分11.1。</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（2）资信证明文件：根据交易文件第四部分评标标准提供。</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供应商未提供（1）的有效的资格证明文件的，视为供应商不具备交易文件中规定的资格要求，投标无效。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559" w:type="dxa"/>
            <w:tcBorders>
              <w:top w:val="single" w:color="auto" w:sz="4" w:space="0"/>
              <w:left w:val="single" w:color="auto" w:sz="4" w:space="0"/>
              <w:bottom w:val="single" w:color="000000" w:sz="8" w:space="0"/>
              <w:right w:val="single" w:color="000000" w:sz="8" w:space="0"/>
            </w:tcBorders>
            <w:vAlign w:val="center"/>
          </w:tcPr>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237"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w:t>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pStyle w:val="33"/>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w:t>
            </w:r>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（√）A不要求提供。</w:t>
            </w:r>
          </w:p>
          <w:p>
            <w:pPr>
              <w:spacing w:line="360" w:lineRule="auto"/>
              <w:rPr>
                <w:rFonts w:hint="eastAsia" w:ascii="仿宋" w:hAnsi="仿宋" w:eastAsia="仿宋" w:cs="仿宋"/>
                <w:b/>
                <w:color w:val="auto"/>
                <w:sz w:val="24"/>
                <w:highlight w:val="none"/>
              </w:rPr>
            </w:pPr>
            <w:r>
              <w:rPr>
                <w:rFonts w:hint="eastAsia" w:ascii="仿宋" w:hAnsi="仿宋" w:eastAsia="仿宋" w:cs="仿宋"/>
                <w:bCs/>
                <w:color w:val="auto"/>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p>
            <w:pPr>
              <w:snapToGrid w:val="0"/>
              <w:spacing w:line="360" w:lineRule="auto"/>
              <w:jc w:val="center"/>
              <w:rPr>
                <w:rFonts w:hint="eastAsia" w:ascii="仿宋" w:hAnsi="仿宋" w:eastAsia="仿宋" w:cs="仿宋"/>
                <w:color w:val="auto"/>
                <w:sz w:val="24"/>
                <w:highlight w:val="none"/>
              </w:rPr>
            </w:pP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投标文件的</w:t>
            </w: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份数</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33"/>
              <w:snapToGrid w:val="0"/>
              <w:spacing w:before="120" w:after="120"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本项目实行电子投标。</w:t>
            </w:r>
          </w:p>
          <w:p>
            <w:pPr>
              <w:pStyle w:val="33"/>
              <w:snapToGrid w:val="0"/>
              <w:spacing w:before="120" w:after="120"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供应商应准备电子投标文件参与投标：</w:t>
            </w:r>
          </w:p>
          <w:p>
            <w:pPr>
              <w:pStyle w:val="33"/>
              <w:snapToGrid w:val="0"/>
              <w:spacing w:before="120" w:after="120" w:line="360" w:lineRule="auto"/>
              <w:ind w:left="360"/>
              <w:rPr>
                <w:rFonts w:hint="eastAsia" w:ascii="仿宋" w:hAnsi="仿宋" w:eastAsia="仿宋" w:cs="仿宋"/>
                <w:color w:val="auto"/>
                <w:sz w:val="24"/>
                <w:highlight w:val="none"/>
              </w:rPr>
            </w:pPr>
            <w:r>
              <w:rPr>
                <w:rFonts w:hint="eastAsia" w:ascii="仿宋" w:hAnsi="仿宋" w:eastAsia="仿宋" w:cs="仿宋"/>
                <w:color w:val="auto"/>
                <w:sz w:val="24"/>
                <w:highlight w:val="none"/>
              </w:rPr>
              <w:t>电子投标文件，按政采云平台项目采购-电子招投标操作指南及本交易文件要求递交。</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▲未传输递交电子投标文件的，投标无效。</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▲未在系统解密时间内完成解密的，视为供应商自行放弃投标，投标无效。</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本项目备份投标文件：不提供。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（√）A不组织。</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08"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采购机构代理费用</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8"/>
              <w:spacing w:line="360" w:lineRule="auto"/>
              <w:ind w:firstLine="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1.不论采购结果如何，供应商均应自行承担所有与采购有关的全部费用；</w:t>
            </w:r>
          </w:p>
          <w:p>
            <w:pPr>
              <w:pStyle w:val="18"/>
              <w:spacing w:line="360" w:lineRule="auto"/>
              <w:ind w:firstLine="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2.成交供应商在领取成交通知书发出时，应向采购代理机构交纳代理服务费；</w:t>
            </w:r>
          </w:p>
          <w:p>
            <w:pPr>
              <w:pStyle w:val="18"/>
              <w:spacing w:line="360" w:lineRule="auto"/>
              <w:ind w:firstLine="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pStyle w:val="18"/>
              <w:spacing w:line="360" w:lineRule="auto"/>
              <w:ind w:firstLine="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4.收费标准：以中标金额为计费基准，按《计价格［2002］1980 号》规定的收费标准计取。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013"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投标保证金</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履约保证金</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8"/>
              <w:spacing w:line="360" w:lineRule="auto"/>
              <w:ind w:firstLine="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投标保证金：不收取。</w:t>
            </w:r>
          </w:p>
          <w:p>
            <w:pPr>
              <w:pStyle w:val="18"/>
              <w:spacing w:line="360" w:lineRule="auto"/>
              <w:ind w:firstLine="0"/>
              <w:rPr>
                <w:rFonts w:hint="eastAsia" w:ascii="仿宋" w:hAnsi="仿宋" w:eastAsia="仿宋" w:cs="仿宋"/>
                <w:color w:val="auto"/>
                <w:sz w:val="24"/>
                <w:highlight w:val="none"/>
              </w:rPr>
            </w:pPr>
            <w:r>
              <w:rPr>
                <w:rFonts w:hint="eastAsia" w:ascii="仿宋" w:hAnsi="仿宋" w:eastAsia="仿宋" w:cs="仿宋"/>
                <w:color w:val="auto"/>
                <w:sz w:val="24"/>
                <w:highlight w:val="none"/>
              </w:rPr>
              <w:t>履约保证金：</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5"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资格审查及信用信息查询</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8"/>
              <w:spacing w:line="360" w:lineRule="auto"/>
              <w:ind w:firstLine="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04"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中小企业划分标准所属行业</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kern w:val="0"/>
                <w:sz w:val="24"/>
                <w:highlight w:val="none"/>
              </w:rPr>
              <w:t>采购标的</w:t>
            </w:r>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u w:val="single"/>
                <w:lang w:eastAsia="zh-CN"/>
              </w:rPr>
              <w:t>萧山区总工会宣传服务项目（2023年）</w:t>
            </w:r>
            <w:r>
              <w:rPr>
                <w:rFonts w:hint="eastAsia" w:ascii="仿宋" w:hAnsi="仿宋" w:eastAsia="仿宋" w:cs="仿宋"/>
                <w:color w:val="auto"/>
                <w:kern w:val="0"/>
                <w:sz w:val="24"/>
                <w:highlight w:val="none"/>
              </w:rPr>
              <w:t>，所属行业：</w:t>
            </w:r>
            <w:r>
              <w:rPr>
                <w:rFonts w:hint="eastAsia" w:ascii="仿宋" w:hAnsi="仿宋" w:eastAsia="仿宋" w:cs="仿宋"/>
                <w:color w:val="auto"/>
                <w:kern w:val="0"/>
                <w:sz w:val="24"/>
                <w:highlight w:val="none"/>
                <w:u w:val="single"/>
                <w:lang w:val="en-US" w:eastAsia="zh-CN"/>
              </w:rPr>
              <w:t>其他未列明行业</w:t>
            </w:r>
            <w:r>
              <w:rPr>
                <w:rFonts w:hint="eastAsia" w:ascii="仿宋" w:hAnsi="仿宋" w:eastAsia="仿宋" w:cs="仿宋"/>
                <w:color w:val="auto"/>
                <w:sz w:val="24"/>
                <w:highlight w:val="none"/>
                <w:u w:val="single"/>
              </w:rPr>
              <w:t>。</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行业划分标准：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质疑接收人</w:t>
            </w: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及答复</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采购人、采购机构质疑接收人、联系方式：详见公告</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线上提交质疑方式：政采云线上质疑路径：项目采购-询问质疑投诉-质疑列表。请使用ca签章在每一页质疑文件中加盖电子公章，上传完整附件。</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本项目涉及资格条件、采购需求、评分办法及采购过程中有关现场考察或开标前答疑会事项由采购人进行答复。</w:t>
            </w:r>
          </w:p>
          <w:p>
            <w:pPr>
              <w:snapToGrid w:val="0"/>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41"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项目采购类型</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5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本项目为</w:t>
            </w:r>
            <w:r>
              <w:rPr>
                <w:rFonts w:hint="eastAsia" w:ascii="仿宋" w:hAnsi="仿宋" w:eastAsia="仿宋" w:cs="仿宋"/>
                <w:color w:val="auto"/>
                <w:sz w:val="24"/>
                <w:highlight w:val="none"/>
                <w:u w:val="single"/>
              </w:rPr>
              <w:t>服务类</w:t>
            </w:r>
            <w:r>
              <w:rPr>
                <w:rFonts w:hint="eastAsia" w:ascii="仿宋" w:hAnsi="仿宋" w:eastAsia="仿宋" w:cs="仿宋"/>
                <w:color w:val="auto"/>
                <w:sz w:val="24"/>
                <w:highlight w:val="none"/>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72"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4</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评标方法</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标项一</w:t>
            </w:r>
            <w:r>
              <w:rPr>
                <w:rFonts w:hint="eastAsia" w:ascii="仿宋" w:hAnsi="仿宋" w:eastAsia="仿宋" w:cs="仿宋"/>
                <w:color w:val="auto"/>
                <w:sz w:val="24"/>
                <w:highlight w:val="none"/>
              </w:rPr>
              <w:t>为</w:t>
            </w:r>
            <w:r>
              <w:rPr>
                <w:rFonts w:hint="eastAsia" w:ascii="仿宋" w:hAnsi="仿宋" w:eastAsia="仿宋" w:cs="仿宋"/>
                <w:color w:val="auto"/>
                <w:sz w:val="24"/>
                <w:highlight w:val="none"/>
                <w:u w:val="single"/>
              </w:rPr>
              <w:t>综合评分法</w:t>
            </w:r>
            <w:r>
              <w:rPr>
                <w:rFonts w:hint="eastAsia" w:ascii="仿宋" w:hAnsi="仿宋" w:eastAsia="仿宋" w:cs="仿宋"/>
                <w:color w:val="auto"/>
                <w:sz w:val="24"/>
                <w:highlight w:val="none"/>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187"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5</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bl>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注：本项目通用总则条款与前附表等专用特别规定有冲突之处，以专用条款（特别规定）为准</w:t>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br w:type="page"/>
      </w:r>
      <w:bookmarkEnd w:id="10"/>
      <w:bookmarkStart w:id="40" w:name="第三部分"/>
      <w:bookmarkStart w:id="41" w:name="_Toc164416483"/>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本交易文件适用于该项目的交易、投标、开标、资格审查及信用信息查询、评标、定标、合同、验收等行为（法律、法规另有规定的，从其规定）。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2.1“采购人”系指交易公告中载明的本项目的采购人。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2.2“采购机构”系指交易公告中载明的本项目的采购机构。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2.3“供应商”系指是指响应交易、参加投标竞争的法人、其他组织或者自然人。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2.5“▲”系指实质性要求条款，“★”系产品采购项目中单一产品或核心产品。</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w:t>
      </w:r>
      <w:r>
        <w:rPr>
          <w:rFonts w:hint="eastAsia" w:ascii="仿宋" w:hAnsi="仿宋" w:eastAsia="仿宋" w:cs="仿宋"/>
          <w:color w:val="auto"/>
          <w:sz w:val="24"/>
          <w:highlight w:val="none"/>
        </w:rPr>
        <w:t>”系指适用本项目的要求，“</w:t>
      </w:r>
      <w:r>
        <w:rPr>
          <w:rFonts w:hint="eastAsia" w:ascii="仿宋" w:hAnsi="仿宋" w:eastAsia="仿宋" w:cs="仿宋"/>
          <w:b/>
          <w:color w:val="auto"/>
          <w:sz w:val="24"/>
          <w:highlight w:val="none"/>
        </w:rPr>
        <w:t>（）</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3.采购项目需要落实的政府采购政策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3.2节能环保要求</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3.2.1根据财政部发展改革委、生态环境部、市场监管总局《关于调整优化节能产品、环境标志产品政府采购执行机制的通知》财库〔2019〕9号，政府采购节能产品、环境标志产品实施品目清单管理。本项目如需采购节能清单中的政府强制采购的节能产品，供应商所投的相应产品须为列入最新一期《关于印发节能产品政府采购品目清单的通知》财库〔2019〕19号的产品，并且提供该产品所在的节能产品政府采购清单页及所投产品国家确定的认证机构出具的、处于有效期之内的节能产品、环境标志产品认证证书，否则投标无效。</w:t>
      </w:r>
      <w:r>
        <w:rPr>
          <w:rFonts w:hint="eastAsia" w:ascii="仿宋" w:hAnsi="仿宋" w:eastAsia="仿宋" w:cs="仿宋"/>
          <w:color w:val="auto"/>
          <w:sz w:val="24"/>
          <w:highlight w:val="none"/>
        </w:rPr>
        <w:t>（注：在最新一期节能产品品目清单发布之后开展的政府采购活动，执行最新一期节能清单。在此之前已经开展但尚未进入评审环节的政府采购活动，执行上期或最新一期品目清单。</w:t>
      </w:r>
      <w:r>
        <w:rPr>
          <w:rFonts w:hint="eastAsia" w:ascii="仿宋" w:hAnsi="仿宋" w:eastAsia="仿宋" w:cs="仿宋"/>
          <w:b/>
          <w:color w:val="auto"/>
          <w:sz w:val="24"/>
          <w:highlight w:val="none"/>
        </w:rPr>
        <w:t>▲</w:t>
      </w:r>
      <w:r>
        <w:rPr>
          <w:rFonts w:hint="eastAsia" w:ascii="仿宋" w:hAnsi="仿宋" w:eastAsia="仿宋" w:cs="仿宋"/>
          <w:b/>
          <w:color w:val="auto"/>
          <w:sz w:val="24"/>
          <w:szCs w:val="21"/>
          <w:highlight w:val="none"/>
        </w:rPr>
        <w:t>本项目如需采购节能品目清单中的政府强制采购的节能产品的，必须以强制采购的品目清单内产品投标，供应商未按要求提供品目清单内的节能产品或相关证明，投标无效。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供应商提供产品如是环境标志产品，应当优先提供《关于印发环境标志产品政府采购品目清单的通知》财库〔2019〕18号内产品，涉及项目评分条款加分项时，应当提供财库〔2019〕18号文件清单，并提供国家确定的认证机构出具的、处于有效期之内的环境标志产品认证证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4.询问、质疑、投诉</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18"/>
        <w:spacing w:line="360" w:lineRule="auto"/>
        <w:ind w:firstLine="0"/>
        <w:rPr>
          <w:rFonts w:hint="eastAsia" w:ascii="仿宋" w:hAnsi="仿宋" w:eastAsia="仿宋" w:cs="仿宋"/>
          <w:snapToGrid/>
          <w:color w:val="auto"/>
          <w:kern w:val="2"/>
          <w:sz w:val="24"/>
          <w:highlight w:val="none"/>
          <w:lang w:val="zh-CN"/>
        </w:rPr>
      </w:pPr>
      <w:r>
        <w:rPr>
          <w:rFonts w:hint="eastAsia" w:ascii="仿宋" w:hAnsi="仿宋" w:eastAsia="仿宋" w:cs="仿宋"/>
          <w:snapToGrid/>
          <w:color w:val="auto"/>
          <w:kern w:val="2"/>
          <w:sz w:val="24"/>
          <w:highlight w:val="none"/>
          <w:lang w:val="zh-CN"/>
        </w:rPr>
        <w:t>4.2供应商质疑</w:t>
      </w:r>
    </w:p>
    <w:p>
      <w:pPr>
        <w:pStyle w:val="18"/>
        <w:spacing w:line="360" w:lineRule="auto"/>
        <w:ind w:firstLine="434" w:firstLineChars="181"/>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lang w:val="zh-CN"/>
        </w:rPr>
        <w:t>4.2</w:t>
      </w:r>
      <w:r>
        <w:rPr>
          <w:rFonts w:hint="eastAsia" w:ascii="仿宋" w:hAnsi="仿宋" w:eastAsia="仿宋" w:cs="仿宋"/>
          <w:snapToGrid/>
          <w:color w:val="auto"/>
          <w:kern w:val="2"/>
          <w:sz w:val="24"/>
          <w:highlight w:val="none"/>
        </w:rPr>
        <w:t>.1提出质疑的供应商应当是参与所质疑项目采购活动的供应商。潜在供应商已依法获取其可质疑的采购文件的，可以对该文件提出质疑。</w:t>
      </w:r>
    </w:p>
    <w:p>
      <w:pPr>
        <w:pStyle w:val="18"/>
        <w:spacing w:line="360" w:lineRule="auto"/>
        <w:ind w:firstLine="434" w:firstLineChars="181"/>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lang w:val="zh-CN"/>
        </w:rPr>
        <w:t>4.2</w:t>
      </w:r>
      <w:r>
        <w:rPr>
          <w:rFonts w:hint="eastAsia" w:ascii="仿宋" w:hAnsi="仿宋" w:eastAsia="仿宋" w:cs="仿宋"/>
          <w:snapToGrid/>
          <w:color w:val="auto"/>
          <w:kern w:val="2"/>
          <w:sz w:val="24"/>
          <w:highlight w:val="none"/>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18"/>
        <w:spacing w:line="360" w:lineRule="auto"/>
        <w:ind w:firstLine="434" w:firstLineChars="181"/>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lang w:val="zh-CN"/>
        </w:rPr>
        <w:t>4.2</w:t>
      </w:r>
      <w:r>
        <w:rPr>
          <w:rFonts w:hint="eastAsia" w:ascii="仿宋" w:hAnsi="仿宋" w:eastAsia="仿宋" w:cs="仿宋"/>
          <w:snapToGrid/>
          <w:color w:val="auto"/>
          <w:kern w:val="2"/>
          <w:sz w:val="24"/>
          <w:highlight w:val="none"/>
        </w:rPr>
        <w:t>.2.1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pPr>
        <w:pStyle w:val="18"/>
        <w:spacing w:line="360" w:lineRule="auto"/>
        <w:ind w:firstLine="434" w:firstLineChars="181"/>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lang w:val="zh-CN"/>
        </w:rPr>
        <w:t>4.2</w:t>
      </w:r>
      <w:r>
        <w:rPr>
          <w:rFonts w:hint="eastAsia" w:ascii="仿宋" w:hAnsi="仿宋" w:eastAsia="仿宋" w:cs="仿宋"/>
          <w:snapToGrid/>
          <w:color w:val="auto"/>
          <w:kern w:val="2"/>
          <w:sz w:val="24"/>
          <w:highlight w:val="none"/>
        </w:rPr>
        <w:t>.2.2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pPr>
        <w:pStyle w:val="18"/>
        <w:spacing w:line="360" w:lineRule="auto"/>
        <w:ind w:firstLine="434" w:firstLineChars="181"/>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lang w:val="zh-CN"/>
        </w:rPr>
        <w:t>4.2</w:t>
      </w:r>
      <w:r>
        <w:rPr>
          <w:rFonts w:hint="eastAsia" w:ascii="仿宋" w:hAnsi="仿宋" w:eastAsia="仿宋" w:cs="仿宋"/>
          <w:snapToGrid/>
          <w:color w:val="auto"/>
          <w:kern w:val="2"/>
          <w:sz w:val="24"/>
          <w:highlight w:val="none"/>
        </w:rPr>
        <w:t>.2.3对采购结果提出质疑的，质疑期限自采购结果公告期限届满之日起计算。对采购结果提出质疑的，采购人或采购机构负责答复。（详见前附表相关规定）</w:t>
      </w:r>
    </w:p>
    <w:p>
      <w:pPr>
        <w:pStyle w:val="18"/>
        <w:spacing w:line="360" w:lineRule="auto"/>
        <w:ind w:firstLine="434" w:firstLineChars="181"/>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lang w:val="zh-CN"/>
        </w:rPr>
        <w:t>4.2.3</w:t>
      </w:r>
      <w:r>
        <w:rPr>
          <w:rFonts w:hint="eastAsia" w:ascii="仿宋" w:hAnsi="仿宋" w:eastAsia="仿宋" w:cs="仿宋"/>
          <w:snapToGrid/>
          <w:color w:val="auto"/>
          <w:kern w:val="2"/>
          <w:sz w:val="24"/>
          <w:highlight w:val="none"/>
        </w:rPr>
        <w:t>供应商提出质疑应当提交质疑函和必要的证明材料。质疑函应当包括下列内容：</w:t>
      </w:r>
    </w:p>
    <w:p>
      <w:pPr>
        <w:pStyle w:val="18"/>
        <w:spacing w:line="360" w:lineRule="auto"/>
        <w:ind w:firstLine="434" w:firstLineChars="181"/>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lang w:val="zh-CN"/>
        </w:rPr>
        <w:t>4.2.3.1</w:t>
      </w:r>
      <w:r>
        <w:rPr>
          <w:rFonts w:hint="eastAsia" w:ascii="仿宋" w:hAnsi="仿宋" w:eastAsia="仿宋" w:cs="仿宋"/>
          <w:snapToGrid/>
          <w:color w:val="auto"/>
          <w:kern w:val="2"/>
          <w:sz w:val="24"/>
          <w:highlight w:val="none"/>
        </w:rPr>
        <w:t>供应商的姓名或者名称、地址、邮编、联系人及联系电话；</w:t>
      </w:r>
    </w:p>
    <w:p>
      <w:pPr>
        <w:pStyle w:val="18"/>
        <w:spacing w:line="360" w:lineRule="auto"/>
        <w:ind w:firstLine="434" w:firstLineChars="181"/>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lang w:val="zh-CN"/>
        </w:rPr>
        <w:t>4.2.3.2</w:t>
      </w:r>
      <w:r>
        <w:rPr>
          <w:rFonts w:hint="eastAsia" w:ascii="仿宋" w:hAnsi="仿宋" w:eastAsia="仿宋" w:cs="仿宋"/>
          <w:snapToGrid/>
          <w:color w:val="auto"/>
          <w:kern w:val="2"/>
          <w:sz w:val="24"/>
          <w:highlight w:val="none"/>
        </w:rPr>
        <w:t>质疑项目的名称、编号；</w:t>
      </w:r>
    </w:p>
    <w:p>
      <w:pPr>
        <w:pStyle w:val="18"/>
        <w:spacing w:line="360" w:lineRule="auto"/>
        <w:ind w:firstLine="434" w:firstLineChars="181"/>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lang w:val="zh-CN"/>
        </w:rPr>
        <w:t>4.2.3.3</w:t>
      </w:r>
      <w:r>
        <w:rPr>
          <w:rFonts w:hint="eastAsia" w:ascii="仿宋" w:hAnsi="仿宋" w:eastAsia="仿宋" w:cs="仿宋"/>
          <w:snapToGrid/>
          <w:color w:val="auto"/>
          <w:kern w:val="2"/>
          <w:sz w:val="24"/>
          <w:highlight w:val="none"/>
        </w:rPr>
        <w:t>具体、明确的质疑事项和与质疑事项相关的请求；</w:t>
      </w:r>
    </w:p>
    <w:p>
      <w:pPr>
        <w:pStyle w:val="18"/>
        <w:spacing w:line="360" w:lineRule="auto"/>
        <w:ind w:firstLine="434" w:firstLineChars="181"/>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lang w:val="zh-CN"/>
        </w:rPr>
        <w:t>4.2.3.4</w:t>
      </w:r>
      <w:r>
        <w:rPr>
          <w:rFonts w:hint="eastAsia" w:ascii="仿宋" w:hAnsi="仿宋" w:eastAsia="仿宋" w:cs="仿宋"/>
          <w:snapToGrid/>
          <w:color w:val="auto"/>
          <w:kern w:val="2"/>
          <w:sz w:val="24"/>
          <w:highlight w:val="none"/>
        </w:rPr>
        <w:t>事实依据；</w:t>
      </w:r>
    </w:p>
    <w:p>
      <w:pPr>
        <w:pStyle w:val="18"/>
        <w:spacing w:line="360" w:lineRule="auto"/>
        <w:ind w:firstLine="434" w:firstLineChars="181"/>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lang w:val="zh-CN"/>
        </w:rPr>
        <w:t>4.2.3.5</w:t>
      </w:r>
      <w:r>
        <w:rPr>
          <w:rFonts w:hint="eastAsia" w:ascii="仿宋" w:hAnsi="仿宋" w:eastAsia="仿宋" w:cs="仿宋"/>
          <w:snapToGrid/>
          <w:color w:val="auto"/>
          <w:kern w:val="2"/>
          <w:sz w:val="24"/>
          <w:highlight w:val="none"/>
        </w:rPr>
        <w:t>必要的法律依据；</w:t>
      </w:r>
    </w:p>
    <w:p>
      <w:pPr>
        <w:pStyle w:val="18"/>
        <w:spacing w:line="360" w:lineRule="auto"/>
        <w:ind w:firstLine="434" w:firstLineChars="181"/>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lang w:val="zh-CN"/>
        </w:rPr>
        <w:t>4.2.3.6</w:t>
      </w:r>
      <w:r>
        <w:rPr>
          <w:rFonts w:hint="eastAsia" w:ascii="仿宋" w:hAnsi="仿宋" w:eastAsia="仿宋" w:cs="仿宋"/>
          <w:snapToGrid/>
          <w:color w:val="auto"/>
          <w:kern w:val="2"/>
          <w:sz w:val="24"/>
          <w:highlight w:val="none"/>
        </w:rPr>
        <w:t>提出质疑的日期。</w:t>
      </w:r>
    </w:p>
    <w:p>
      <w:pPr>
        <w:pStyle w:val="18"/>
        <w:spacing w:line="360" w:lineRule="auto"/>
        <w:ind w:firstLine="434" w:firstLineChars="181"/>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供应商提交的质疑函需一式三份。供应商为自然人的，应当由本人签字；供应商为法人或者其他组织的，应当由法定代表人、主要负责人，或者其授权代表签字或者盖章，并加盖公章。质疑函范本及制作说明详见附件2。</w:t>
      </w:r>
    </w:p>
    <w:p>
      <w:pPr>
        <w:pStyle w:val="18"/>
        <w:spacing w:line="360" w:lineRule="auto"/>
        <w:ind w:firstLine="434" w:firstLineChars="181"/>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lang w:val="zh-CN"/>
        </w:rPr>
        <w:t>4.2</w:t>
      </w:r>
      <w:r>
        <w:rPr>
          <w:rFonts w:hint="eastAsia" w:ascii="仿宋" w:hAnsi="仿宋" w:eastAsia="仿宋" w:cs="仿宋"/>
          <w:snapToGrid/>
          <w:color w:val="auto"/>
          <w:kern w:val="2"/>
          <w:sz w:val="24"/>
          <w:highlight w:val="none"/>
        </w:rPr>
        <w:t>.4采购人负责供应商质疑答复。采购人委托采购代理机构采购的，采购代理机构在委托授权范围内作出答复。采购人或者采购机构应当在收到供应商的书面质疑后七个工作日内作出答复，并以书面形式通知质疑供应商和其他与质疑处理结果有利害关系的政府采购当事人，但答复的内容不得涉及商业秘密。</w:t>
      </w:r>
    </w:p>
    <w:p>
      <w:pPr>
        <w:pStyle w:val="18"/>
        <w:spacing w:line="360" w:lineRule="auto"/>
        <w:ind w:firstLine="434" w:firstLineChars="181"/>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lang w:val="zh-CN"/>
        </w:rPr>
        <w:t>4.2</w:t>
      </w:r>
      <w:r>
        <w:rPr>
          <w:rFonts w:hint="eastAsia" w:ascii="仿宋" w:hAnsi="仿宋" w:eastAsia="仿宋" w:cs="仿宋"/>
          <w:snapToGrid/>
          <w:color w:val="auto"/>
          <w:kern w:val="2"/>
          <w:sz w:val="24"/>
          <w:highlight w:val="none"/>
        </w:rPr>
        <w:t>.5询问或者质疑事项可能影响采购结果的，采购人应当暂停签订合同，已经签订合同的，应当中止履行合同。</w:t>
      </w:r>
    </w:p>
    <w:p>
      <w:pPr>
        <w:pStyle w:val="18"/>
        <w:spacing w:line="360" w:lineRule="auto"/>
        <w:ind w:firstLine="434" w:firstLineChars="181"/>
        <w:rPr>
          <w:rFonts w:hint="eastAsia" w:ascii="仿宋" w:hAnsi="仿宋" w:eastAsia="仿宋" w:cs="仿宋"/>
          <w:snapToGrid/>
          <w:color w:val="auto"/>
          <w:kern w:val="2"/>
          <w:sz w:val="24"/>
          <w:highlight w:val="none"/>
          <w:lang w:val="zh-CN"/>
        </w:rPr>
      </w:pPr>
      <w:r>
        <w:rPr>
          <w:rFonts w:hint="eastAsia" w:ascii="仿宋" w:hAnsi="仿宋" w:eastAsia="仿宋" w:cs="仿宋"/>
          <w:snapToGrid/>
          <w:color w:val="auto"/>
          <w:kern w:val="2"/>
          <w:sz w:val="24"/>
          <w:highlight w:val="none"/>
          <w:lang w:val="zh-CN"/>
        </w:rPr>
        <w:t>4.2.6质疑接收人：详见前附表</w:t>
      </w:r>
    </w:p>
    <w:p>
      <w:pPr>
        <w:pStyle w:val="18"/>
        <w:spacing w:line="360" w:lineRule="auto"/>
        <w:ind w:firstLine="434" w:firstLineChars="181"/>
        <w:rPr>
          <w:rFonts w:hint="eastAsia" w:ascii="仿宋" w:hAnsi="仿宋" w:eastAsia="仿宋" w:cs="仿宋"/>
          <w:snapToGrid/>
          <w:color w:val="auto"/>
          <w:kern w:val="2"/>
          <w:sz w:val="24"/>
          <w:highlight w:val="none"/>
          <w:lang w:val="zh-CN"/>
        </w:rPr>
      </w:pPr>
      <w:r>
        <w:rPr>
          <w:rFonts w:hint="eastAsia" w:ascii="仿宋" w:hAnsi="仿宋" w:eastAsia="仿宋" w:cs="仿宋"/>
          <w:snapToGrid/>
          <w:color w:val="auto"/>
          <w:kern w:val="2"/>
          <w:sz w:val="24"/>
          <w:highlight w:val="none"/>
          <w:lang w:val="zh-CN"/>
        </w:rPr>
        <w:t>4.3供应商投诉</w:t>
      </w:r>
    </w:p>
    <w:p>
      <w:pPr>
        <w:pStyle w:val="18"/>
        <w:spacing w:line="360" w:lineRule="auto"/>
        <w:ind w:firstLine="434" w:firstLineChars="181"/>
        <w:rPr>
          <w:rFonts w:hint="eastAsia" w:ascii="仿宋" w:hAnsi="仿宋" w:eastAsia="仿宋" w:cs="仿宋"/>
          <w:snapToGrid/>
          <w:color w:val="auto"/>
          <w:kern w:val="2"/>
          <w:sz w:val="24"/>
          <w:highlight w:val="none"/>
          <w:lang w:val="zh-CN"/>
        </w:rPr>
      </w:pPr>
      <w:r>
        <w:rPr>
          <w:rFonts w:hint="eastAsia" w:ascii="仿宋" w:hAnsi="仿宋" w:eastAsia="仿宋" w:cs="仿宋"/>
          <w:snapToGrid/>
          <w:color w:val="auto"/>
          <w:kern w:val="2"/>
          <w:sz w:val="24"/>
          <w:highlight w:val="none"/>
          <w:lang w:val="zh-CN"/>
        </w:rPr>
        <w:t>4.3.1质疑供应商对采购人、采购机构的答复不满意或者采购人、采购机构未在规定的时间内作出答复的，可以在答复期满后十五个工作日内向同级政府采购监督管理部门提出投诉。</w:t>
      </w:r>
    </w:p>
    <w:p>
      <w:pPr>
        <w:pStyle w:val="18"/>
        <w:spacing w:line="360" w:lineRule="auto"/>
        <w:ind w:firstLine="434" w:firstLineChars="181"/>
        <w:rPr>
          <w:rFonts w:hint="eastAsia" w:ascii="仿宋" w:hAnsi="仿宋" w:eastAsia="仿宋" w:cs="仿宋"/>
          <w:snapToGrid/>
          <w:color w:val="auto"/>
          <w:kern w:val="2"/>
          <w:sz w:val="24"/>
          <w:highlight w:val="none"/>
          <w:lang w:val="zh-CN"/>
        </w:rPr>
      </w:pPr>
      <w:r>
        <w:rPr>
          <w:rFonts w:hint="eastAsia" w:ascii="仿宋" w:hAnsi="仿宋" w:eastAsia="仿宋" w:cs="仿宋"/>
          <w:snapToGrid/>
          <w:color w:val="auto"/>
          <w:kern w:val="2"/>
          <w:sz w:val="24"/>
          <w:highlight w:val="none"/>
          <w:lang w:val="zh-CN"/>
        </w:rPr>
        <w:t>4.3.2供应商投诉的事项不得超出已质疑事项的范围，基于质疑答复内容提出的投诉事项除外。</w:t>
      </w:r>
    </w:p>
    <w:p>
      <w:pPr>
        <w:pStyle w:val="18"/>
        <w:spacing w:line="360" w:lineRule="auto"/>
        <w:ind w:firstLine="434" w:firstLineChars="181"/>
        <w:rPr>
          <w:rFonts w:hint="eastAsia" w:ascii="仿宋" w:hAnsi="仿宋" w:eastAsia="仿宋" w:cs="仿宋"/>
          <w:snapToGrid/>
          <w:color w:val="auto"/>
          <w:kern w:val="2"/>
          <w:sz w:val="24"/>
          <w:highlight w:val="none"/>
          <w:lang w:val="zh-CN"/>
        </w:rPr>
      </w:pPr>
      <w:r>
        <w:rPr>
          <w:rFonts w:hint="eastAsia" w:ascii="仿宋" w:hAnsi="仿宋" w:eastAsia="仿宋" w:cs="仿宋"/>
          <w:snapToGrid/>
          <w:color w:val="auto"/>
          <w:kern w:val="2"/>
          <w:sz w:val="24"/>
          <w:highlight w:val="none"/>
          <w:lang w:val="zh-CN"/>
        </w:rPr>
        <w:t>4.3.3供应商投诉应当有明确的请求和必要的证明材料。</w:t>
      </w:r>
    </w:p>
    <w:p>
      <w:pPr>
        <w:pStyle w:val="18"/>
        <w:spacing w:line="360" w:lineRule="auto"/>
        <w:ind w:firstLine="434" w:firstLineChars="181"/>
        <w:rPr>
          <w:rFonts w:hint="eastAsia" w:ascii="仿宋" w:hAnsi="仿宋" w:eastAsia="仿宋" w:cs="仿宋"/>
          <w:snapToGrid/>
          <w:color w:val="auto"/>
          <w:kern w:val="2"/>
          <w:sz w:val="24"/>
          <w:highlight w:val="none"/>
          <w:lang w:val="zh-CN"/>
        </w:rPr>
      </w:pPr>
      <w:r>
        <w:rPr>
          <w:rFonts w:hint="eastAsia" w:ascii="仿宋" w:hAnsi="仿宋" w:eastAsia="仿宋" w:cs="仿宋"/>
          <w:snapToGrid/>
          <w:color w:val="auto"/>
          <w:kern w:val="2"/>
          <w:sz w:val="24"/>
          <w:highlight w:val="none"/>
          <w:lang w:val="zh-CN"/>
        </w:rPr>
        <w:t>4.3.5以联合体形式参加政府采购活动的，其投诉应当由组成联合体的所有供应商共同提出。</w:t>
      </w:r>
    </w:p>
    <w:p>
      <w:pPr>
        <w:pStyle w:val="18"/>
        <w:spacing w:line="360" w:lineRule="auto"/>
        <w:ind w:firstLine="434" w:firstLineChars="181"/>
        <w:rPr>
          <w:rFonts w:hint="eastAsia" w:ascii="仿宋" w:hAnsi="仿宋" w:eastAsia="仿宋" w:cs="仿宋"/>
          <w:snapToGrid/>
          <w:color w:val="auto"/>
          <w:kern w:val="2"/>
          <w:sz w:val="24"/>
          <w:highlight w:val="none"/>
          <w:lang w:val="zh-CN"/>
        </w:rPr>
      </w:pPr>
      <w:r>
        <w:rPr>
          <w:rFonts w:hint="eastAsia" w:ascii="仿宋" w:hAnsi="仿宋" w:eastAsia="仿宋" w:cs="仿宋"/>
          <w:snapToGrid/>
          <w:color w:val="auto"/>
          <w:kern w:val="2"/>
          <w:sz w:val="24"/>
          <w:highlight w:val="none"/>
          <w:lang w:val="zh-CN"/>
        </w:rPr>
        <w:t>投诉书范本及制作说明详见附件3。</w:t>
      </w:r>
    </w:p>
    <w:p>
      <w:pPr>
        <w:pStyle w:val="220"/>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bookmarkStart w:id="42" w:name="_Hlt74707468"/>
      <w:bookmarkEnd w:id="42"/>
      <w:bookmarkStart w:id="43" w:name="_Hlt74729768"/>
      <w:bookmarkEnd w:id="43"/>
      <w:bookmarkStart w:id="44" w:name="_Hlt75236290"/>
      <w:bookmarkEnd w:id="44"/>
      <w:bookmarkStart w:id="45" w:name="_Hlt74714665"/>
      <w:bookmarkEnd w:id="45"/>
      <w:bookmarkStart w:id="46" w:name="_Hlt68072990"/>
      <w:bookmarkEnd w:id="46"/>
      <w:bookmarkStart w:id="47" w:name="_Hlt68057669"/>
      <w:bookmarkEnd w:id="47"/>
      <w:bookmarkStart w:id="48" w:name="_Hlt74730295"/>
      <w:bookmarkEnd w:id="48"/>
      <w:bookmarkStart w:id="49" w:name="_Toc91899879"/>
      <w:r>
        <w:rPr>
          <w:rFonts w:hint="eastAsia" w:ascii="仿宋" w:hAnsi="仿宋" w:eastAsia="仿宋" w:cs="仿宋"/>
          <w:b/>
          <w:color w:val="auto"/>
          <w:sz w:val="32"/>
          <w:szCs w:val="20"/>
          <w:highlight w:val="none"/>
        </w:rPr>
        <w:t>二、交易文件</w:t>
      </w:r>
      <w:bookmarkEnd w:id="49"/>
      <w:r>
        <w:rPr>
          <w:rFonts w:hint="eastAsia" w:ascii="仿宋" w:hAnsi="仿宋" w:eastAsia="仿宋" w:cs="仿宋"/>
          <w:b/>
          <w:color w:val="auto"/>
          <w:sz w:val="32"/>
          <w:szCs w:val="20"/>
          <w:highlight w:val="none"/>
        </w:rPr>
        <w:t>的构成、澄清、修改</w:t>
      </w:r>
    </w:p>
    <w:p>
      <w:pPr>
        <w:pStyle w:val="33"/>
        <w:spacing w:line="360" w:lineRule="auto"/>
        <w:ind w:right="-512" w:firstLine="576"/>
        <w:rPr>
          <w:rFonts w:hint="eastAsia" w:ascii="仿宋" w:hAnsi="仿宋" w:eastAsia="仿宋" w:cs="仿宋"/>
          <w:b/>
          <w:color w:val="auto"/>
          <w:sz w:val="24"/>
          <w:szCs w:val="24"/>
          <w:highlight w:val="none"/>
        </w:rPr>
      </w:pPr>
      <w:bookmarkStart w:id="50" w:name="_Toc91899880"/>
      <w:bookmarkStart w:id="51" w:name="_Hlt74730307"/>
      <w:r>
        <w:rPr>
          <w:rFonts w:hint="eastAsia" w:ascii="仿宋" w:hAnsi="仿宋" w:eastAsia="仿宋" w:cs="仿宋"/>
          <w:b/>
          <w:color w:val="auto"/>
          <w:sz w:val="24"/>
          <w:szCs w:val="24"/>
          <w:highlight w:val="none"/>
        </w:rPr>
        <w:t>5．交易文件的构成</w:t>
      </w:r>
      <w:bookmarkEnd w:id="50"/>
    </w:p>
    <w:bookmarkEnd w:id="51"/>
    <w:p>
      <w:pPr>
        <w:pStyle w:val="33"/>
        <w:spacing w:line="360" w:lineRule="auto"/>
        <w:ind w:right="-512"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5.1交易文件包括下列文件及附件</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第一部分交易公告</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第二部分供应商须知</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第三部分采购需求</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第四部分评审办法</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第五部分拟签订的合同文本</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第六部分应提交的有关格式范例</w:t>
      </w:r>
    </w:p>
    <w:p>
      <w:pPr>
        <w:wordWrap w:val="0"/>
        <w:spacing w:line="360" w:lineRule="auto"/>
        <w:ind w:firstLine="480" w:firstLineChars="200"/>
        <w:jc w:val="left"/>
        <w:rPr>
          <w:rFonts w:hint="eastAsia" w:ascii="仿宋" w:hAnsi="仿宋" w:eastAsia="仿宋" w:cs="仿宋"/>
          <w:bCs/>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澄清或者修改等公告、内容亦为交易文件的组成部分，供应商须自行于交易公告所在网站获取相关信息（浙江政府采购网）</w:t>
      </w:r>
      <w:r>
        <w:rPr>
          <w:rFonts w:hint="eastAsia" w:ascii="仿宋" w:hAnsi="仿宋" w:eastAsia="仿宋" w:cs="仿宋"/>
          <w:color w:val="auto"/>
          <w:sz w:val="24"/>
          <w:highlight w:val="none"/>
        </w:rPr>
        <w:t>。</w:t>
      </w:r>
    </w:p>
    <w:p>
      <w:pPr>
        <w:pStyle w:val="33"/>
        <w:spacing w:line="360" w:lineRule="auto"/>
        <w:ind w:right="-512"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6.交易文件的澄清、修改</w:t>
      </w:r>
    </w:p>
    <w:p>
      <w:pPr>
        <w:pStyle w:val="22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6.1已获取交易文件的潜在供应商，若有问题需要澄清，应于投标截止时间前，以书面形式向采购机构提出，采购机构与采购人研究后，对认为有必要回答的问题，将以公告形式通知所有交易文件收受人。</w:t>
      </w:r>
    </w:p>
    <w:p>
      <w:pPr>
        <w:pStyle w:val="22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6.2采购机构如对已发出的交易文件进行必要澄清或者修改的，将在发布交易公告的网站上发布更正、补遗公告，同时视情况延长投标截止时间和开标时间。该公告澄清或者修改的内容为交易文件的组成部分。</w:t>
      </w:r>
    </w:p>
    <w:p>
      <w:pPr>
        <w:spacing w:line="360" w:lineRule="auto"/>
        <w:ind w:firstLine="482" w:firstLineChars="2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w:t>
      </w:r>
      <w:r>
        <w:rPr>
          <w:rFonts w:hint="eastAsia" w:ascii="仿宋" w:hAnsi="仿宋" w:eastAsia="仿宋" w:cs="仿宋"/>
          <w:b/>
          <w:color w:val="auto"/>
          <w:sz w:val="24"/>
          <w:szCs w:val="21"/>
          <w:highlight w:val="none"/>
        </w:rPr>
        <w:t>投标文件未按交易文件更正、补遗公告的澄清、修改的内容编制，又不符合实质性要求的，投标无效。</w:t>
      </w:r>
    </w:p>
    <w:p>
      <w:pPr>
        <w:pStyle w:val="2"/>
        <w:rPr>
          <w:rFonts w:hint="eastAsia" w:ascii="仿宋" w:hAnsi="仿宋" w:eastAsia="仿宋" w:cs="仿宋"/>
          <w:color w:val="auto"/>
          <w:sz w:val="18"/>
          <w:szCs w:val="18"/>
          <w:highlight w:val="none"/>
          <w:lang w:val="en-US"/>
        </w:rPr>
      </w:pPr>
    </w:p>
    <w:p>
      <w:pPr>
        <w:adjustRightInd/>
        <w:spacing w:line="360" w:lineRule="auto"/>
        <w:jc w:val="center"/>
        <w:outlineLvl w:val="0"/>
        <w:rPr>
          <w:rFonts w:hint="eastAsia" w:ascii="仿宋" w:hAnsi="仿宋" w:eastAsia="仿宋" w:cs="仿宋"/>
          <w:b/>
          <w:color w:val="auto"/>
          <w:sz w:val="30"/>
          <w:szCs w:val="20"/>
          <w:highlight w:val="none"/>
        </w:rPr>
      </w:pPr>
      <w:bookmarkStart w:id="52" w:name="_Hlt75236011"/>
      <w:bookmarkEnd w:id="52"/>
      <w:bookmarkStart w:id="53" w:name="_Toc91899884"/>
      <w:r>
        <w:rPr>
          <w:rFonts w:hint="eastAsia" w:ascii="仿宋" w:hAnsi="仿宋" w:eastAsia="仿宋" w:cs="仿宋"/>
          <w:b/>
          <w:color w:val="auto"/>
          <w:sz w:val="30"/>
          <w:szCs w:val="20"/>
          <w:highlight w:val="none"/>
        </w:rPr>
        <w:t>三、投标</w:t>
      </w:r>
      <w:bookmarkEnd w:id="53"/>
    </w:p>
    <w:p>
      <w:pPr>
        <w:pStyle w:val="33"/>
        <w:spacing w:line="360" w:lineRule="auto"/>
        <w:ind w:right="-512" w:firstLine="482" w:firstLineChars="200"/>
        <w:rPr>
          <w:rFonts w:hint="eastAsia" w:ascii="仿宋" w:hAnsi="仿宋" w:eastAsia="仿宋" w:cs="仿宋"/>
          <w:b/>
          <w:color w:val="auto"/>
          <w:sz w:val="24"/>
          <w:szCs w:val="24"/>
          <w:highlight w:val="none"/>
        </w:rPr>
      </w:pPr>
      <w:bookmarkStart w:id="54" w:name="_Toc86216991"/>
      <w:bookmarkStart w:id="55" w:name="_Toc91899892"/>
      <w:r>
        <w:rPr>
          <w:rFonts w:hint="eastAsia" w:ascii="仿宋" w:hAnsi="仿宋" w:eastAsia="仿宋" w:cs="仿宋"/>
          <w:b/>
          <w:color w:val="auto"/>
          <w:sz w:val="24"/>
          <w:szCs w:val="24"/>
          <w:highlight w:val="none"/>
        </w:rPr>
        <w:t>7.交易文件的获取</w:t>
      </w:r>
    </w:p>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详见交易公告中获取交易文件的时间期限、地点、方式。附件中直接下载仅供浏览使用。</w:t>
      </w:r>
    </w:p>
    <w:p>
      <w:pPr>
        <w:spacing w:line="360" w:lineRule="auto"/>
        <w:ind w:firstLine="482" w:firstLineChars="2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w:t>
      </w:r>
      <w:r>
        <w:rPr>
          <w:rFonts w:hint="eastAsia" w:ascii="仿宋" w:hAnsi="仿宋" w:eastAsia="仿宋" w:cs="仿宋"/>
          <w:b/>
          <w:color w:val="auto"/>
          <w:sz w:val="24"/>
          <w:szCs w:val="21"/>
          <w:highlight w:val="none"/>
        </w:rPr>
        <w:t>未按照公告要求完成采购文件获取的，投标无效。</w:t>
      </w:r>
    </w:p>
    <w:p>
      <w:pPr>
        <w:pStyle w:val="33"/>
        <w:spacing w:line="360" w:lineRule="auto"/>
        <w:ind w:right="-512" w:firstLine="576"/>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3"/>
        <w:spacing w:line="360" w:lineRule="auto"/>
        <w:ind w:right="-512"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采购人视采购项目的具体情况，如果采购人组织潜在供应商现场考察或者召开开标前答疑会的，潜在供应商按前附表的规定参加现场考察或者开标前答疑会。</w:t>
      </w:r>
      <w:r>
        <w:rPr>
          <w:rFonts w:hint="eastAsia" w:ascii="仿宋" w:hAnsi="仿宋" w:eastAsia="仿宋" w:cs="仿宋"/>
          <w:b/>
          <w:color w:val="auto"/>
          <w:sz w:val="24"/>
          <w:szCs w:val="24"/>
          <w:highlight w:val="none"/>
        </w:rPr>
        <w:t>采购人不单独或分别组织只有一个供应商参加的现场考察和答疑会。</w:t>
      </w:r>
    </w:p>
    <w:p>
      <w:pPr>
        <w:pStyle w:val="33"/>
        <w:spacing w:line="360" w:lineRule="auto"/>
        <w:ind w:right="-512" w:firstLine="576"/>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220"/>
        <w:snapToGrid w:val="0"/>
        <w:spacing w:before="0"/>
        <w:ind w:firstLine="480"/>
        <w:rPr>
          <w:rFonts w:hint="eastAsia" w:ascii="仿宋" w:hAnsi="仿宋" w:eastAsia="仿宋" w:cs="仿宋"/>
          <w:color w:val="auto"/>
          <w:highlight w:val="none"/>
          <w:lang w:val="zh-CN"/>
        </w:rPr>
      </w:pPr>
      <w:r>
        <w:rPr>
          <w:rFonts w:hint="eastAsia" w:ascii="仿宋" w:hAnsi="仿宋" w:eastAsia="仿宋" w:cs="仿宋"/>
          <w:color w:val="auto"/>
          <w:highlight w:val="none"/>
        </w:rPr>
        <w:t>本项目不收取投标保证金。</w:t>
      </w:r>
    </w:p>
    <w:p>
      <w:pPr>
        <w:pStyle w:val="33"/>
        <w:spacing w:line="360" w:lineRule="auto"/>
        <w:ind w:right="-512" w:firstLine="576"/>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投标文件及供应商与采购有关的来往通知、函件和文件均应使用中文。</w:t>
      </w:r>
    </w:p>
    <w:p>
      <w:pPr>
        <w:pStyle w:val="33"/>
        <w:spacing w:line="360" w:lineRule="auto"/>
        <w:ind w:right="-512" w:firstLine="576"/>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11.投标文件的组成</w:t>
      </w:r>
    </w:p>
    <w:p>
      <w:pPr>
        <w:snapToGrid w:val="0"/>
        <w:spacing w:line="360" w:lineRule="auto"/>
        <w:ind w:firstLine="482" w:firstLineChars="200"/>
        <w:rPr>
          <w:rFonts w:hint="eastAsia" w:ascii="仿宋" w:hAnsi="仿宋" w:eastAsia="仿宋" w:cs="仿宋"/>
          <w:b/>
          <w:bCs/>
          <w:color w:val="auto"/>
          <w:sz w:val="24"/>
          <w:highlight w:val="none"/>
        </w:rPr>
      </w:pPr>
      <w:bookmarkStart w:id="56" w:name="_Toc91899887"/>
      <w:r>
        <w:rPr>
          <w:rFonts w:hint="eastAsia" w:ascii="仿宋" w:hAnsi="仿宋" w:eastAsia="仿宋" w:cs="仿宋"/>
          <w:b/>
          <w:bCs/>
          <w:color w:val="auto"/>
          <w:sz w:val="24"/>
          <w:highlight w:val="none"/>
        </w:rPr>
        <w:t>11.1资格文件：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w:t>
      </w:r>
    </w:p>
    <w:p>
      <w:pPr>
        <w:snapToGrid w:val="0"/>
        <w:spacing w:line="360" w:lineRule="auto"/>
        <w:ind w:firstLine="482" w:firstLineChars="200"/>
        <w:rPr>
          <w:rFonts w:hint="eastAsia"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11.</w:t>
      </w:r>
      <w:r>
        <w:rPr>
          <w:rFonts w:hint="eastAsia" w:ascii="仿宋" w:hAnsi="仿宋" w:eastAsia="仿宋" w:cs="仿宋"/>
          <w:b/>
          <w:bCs/>
          <w:color w:val="auto"/>
          <w:sz w:val="24"/>
          <w:highlight w:val="none"/>
        </w:rPr>
        <w:t>2商务技术</w:t>
      </w:r>
      <w:r>
        <w:rPr>
          <w:rFonts w:hint="eastAsia" w:ascii="仿宋" w:hAnsi="仿宋" w:eastAsia="仿宋" w:cs="仿宋"/>
          <w:b/>
          <w:bCs/>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2" w:firstLineChars="200"/>
        <w:rPr>
          <w:rFonts w:hint="eastAsia" w:ascii="仿宋" w:hAnsi="仿宋" w:eastAsia="仿宋" w:cs="仿宋"/>
          <w:b/>
          <w:bCs/>
          <w:color w:val="auto"/>
          <w:sz w:val="24"/>
          <w:highlight w:val="none"/>
          <w:u w:val="single"/>
          <w:lang w:val="zh-CN"/>
        </w:rPr>
      </w:pPr>
      <w:r>
        <w:rPr>
          <w:rFonts w:hint="eastAsia" w:ascii="仿宋" w:hAnsi="仿宋" w:eastAsia="仿宋" w:cs="仿宋"/>
          <w:b/>
          <w:bCs/>
          <w:color w:val="auto"/>
          <w:kern w:val="0"/>
          <w:sz w:val="24"/>
          <w:highlight w:val="none"/>
          <w:lang w:val="zh-CN"/>
        </w:rPr>
        <w:t>11.</w:t>
      </w:r>
      <w:r>
        <w:rPr>
          <w:rFonts w:hint="eastAsia" w:ascii="仿宋" w:hAnsi="仿宋" w:eastAsia="仿宋" w:cs="仿宋"/>
          <w:b/>
          <w:bCs/>
          <w:color w:val="auto"/>
          <w:kern w:val="0"/>
          <w:sz w:val="24"/>
          <w:highlight w:val="none"/>
        </w:rPr>
        <w:t>3</w:t>
      </w:r>
      <w:r>
        <w:rPr>
          <w:rFonts w:hint="eastAsia" w:ascii="仿宋" w:hAnsi="仿宋" w:eastAsia="仿宋" w:cs="仿宋"/>
          <w:b/>
          <w:bCs/>
          <w:color w:val="auto"/>
          <w:sz w:val="24"/>
          <w:highlight w:val="none"/>
        </w:rPr>
        <w:t>报价文件：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供应商提供虚假材料投标的，投标无效。</w:t>
      </w:r>
    </w:p>
    <w:p>
      <w:pPr>
        <w:pStyle w:val="220"/>
        <w:snapToGrid w:val="0"/>
        <w:spacing w:before="0"/>
        <w:ind w:firstLine="482"/>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w:t>
      </w:r>
      <w:r>
        <w:rPr>
          <w:rFonts w:hint="eastAsia" w:ascii="仿宋" w:hAnsi="仿宋" w:eastAsia="仿宋" w:cs="仿宋"/>
          <w:b/>
          <w:color w:val="auto"/>
          <w:szCs w:val="24"/>
          <w:highlight w:val="none"/>
        </w:rPr>
        <w:t>投标文件的编制</w:t>
      </w:r>
    </w:p>
    <w:p>
      <w:pPr>
        <w:spacing w:line="360" w:lineRule="auto"/>
        <w:ind w:firstLine="482" w:firstLineChars="2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▲投标文件未按本条规定的格式编制的，投标无效；</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12.1投标文件分为资格文件、商务技术文件、报价文件三部分。各供应商在编制投标文件时请按照交易文件第六部分规定的格式进行，混乱的编排导致投标文件被误读或评标委员会查找不到有效文件是供应商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12.2供应商进行电子投标应安装客户端软件—“政采云电子交易客户端”，并按照交易文件和电子交易平台的要求编制并加密投标文件。供应商未按规定加密的投标文件，电子交易平台将拒收并提示。</w:t>
      </w:r>
    </w:p>
    <w:bookmarkEnd w:id="56"/>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pStyle w:val="220"/>
        <w:snapToGrid w:val="0"/>
        <w:spacing w:before="0"/>
        <w:ind w:firstLine="482"/>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12.4纸质备份文件（如有）的制作要求：</w:t>
      </w:r>
    </w:p>
    <w:p>
      <w:pPr>
        <w:pStyle w:val="220"/>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12.4.1供应商制作纸质投标文件须在投标文件封面上标明“正本”与“副本”字样、项目名称与标项号，并加盖供应商公章。正本内容与副本不一致时，以正本为准。</w:t>
      </w:r>
    </w:p>
    <w:p>
      <w:pPr>
        <w:pStyle w:val="220"/>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12.4.2投标文件正本应使用不能擦去的墨水打印或书写</w:t>
      </w:r>
      <w:r>
        <w:rPr>
          <w:rFonts w:hint="eastAsia" w:ascii="仿宋" w:hAnsi="仿宋" w:eastAsia="仿宋" w:cs="仿宋"/>
          <w:color w:val="auto"/>
          <w:highlight w:val="none"/>
        </w:rPr>
        <w:t>。</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12.4.3全套投标文件应无涂改和行间插字，除非这些删改是根据采购机构要求进行，或者是供应商造成的必须修改的错误。所修改处应由法定代表人或其授权代表签字盖章予以确认。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12.4.4投标文件建议采用A4幅面，按顺序统一编目编码装订成册。</w:t>
      </w:r>
      <w:r>
        <w:rPr>
          <w:rFonts w:hint="eastAsia" w:ascii="仿宋" w:hAnsi="仿宋" w:eastAsia="仿宋" w:cs="仿宋"/>
          <w:b/>
          <w:color w:val="auto"/>
          <w:sz w:val="24"/>
          <w:highlight w:val="none"/>
        </w:rPr>
        <w:t>提倡双面打印</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rPr>
      </w:pPr>
    </w:p>
    <w:p>
      <w:pPr>
        <w:snapToGrid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13.投标文件的装订、签署、盖章</w:t>
      </w:r>
    </w:p>
    <w:p>
      <w:pPr>
        <w:pStyle w:val="220"/>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13.1投标文件按照交易文件第六部分格式要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▲供应商的投标文件未按照交易文件要求签署、盖章的，其投标无效</w:t>
      </w:r>
      <w:r>
        <w:rPr>
          <w:rFonts w:hint="eastAsia" w:ascii="仿宋" w:hAnsi="仿宋" w:eastAsia="仿宋" w:cs="仿宋"/>
          <w:color w:val="auto"/>
          <w:szCs w:val="24"/>
          <w:highlight w:val="none"/>
        </w:rPr>
        <w:t>。</w:t>
      </w:r>
    </w:p>
    <w:p>
      <w:pPr>
        <w:pStyle w:val="220"/>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13.2为确保网上操作合法、有效和安全，供应商应当在投标截止时间前完成在“政府采购云平台”的身份认证，确保在电子投标过程中能够对相关数据电文进行加密和使用电子签章。</w:t>
      </w:r>
    </w:p>
    <w:p>
      <w:pPr>
        <w:snapToGrid w:val="0"/>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纸质备份文件（如有）须将投标文件的资格文件、商务技术文件、报价文件</w:t>
      </w:r>
      <w:r>
        <w:rPr>
          <w:rFonts w:hint="eastAsia" w:ascii="仿宋" w:hAnsi="仿宋" w:eastAsia="仿宋" w:cs="仿宋"/>
          <w:b/>
          <w:color w:val="auto"/>
          <w:sz w:val="24"/>
          <w:highlight w:val="none"/>
        </w:rPr>
        <w:t>三</w:t>
      </w:r>
      <w:r>
        <w:rPr>
          <w:rFonts w:hint="eastAsia" w:ascii="仿宋" w:hAnsi="仿宋" w:eastAsia="仿宋" w:cs="仿宋"/>
          <w:color w:val="auto"/>
          <w:sz w:val="24"/>
          <w:highlight w:val="none"/>
        </w:rPr>
        <w:t>部分分别装订成册，投标文件的装订必须采用</w:t>
      </w:r>
      <w:r>
        <w:rPr>
          <w:rFonts w:hint="eastAsia" w:ascii="仿宋" w:hAnsi="仿宋" w:eastAsia="仿宋" w:cs="仿宋"/>
          <w:b/>
          <w:color w:val="auto"/>
          <w:sz w:val="24"/>
          <w:highlight w:val="none"/>
        </w:rPr>
        <w:t>胶订或线订</w:t>
      </w:r>
      <w:r>
        <w:rPr>
          <w:rFonts w:hint="eastAsia" w:ascii="仿宋" w:hAnsi="仿宋" w:eastAsia="仿宋" w:cs="仿宋"/>
          <w:color w:val="auto"/>
          <w:sz w:val="24"/>
          <w:highlight w:val="none"/>
        </w:rPr>
        <w:t>形式，不得采用活页装订方式（胶订或线订以外装订形式视为活页装订）。</w:t>
      </w:r>
      <w:r>
        <w:rPr>
          <w:rFonts w:hint="eastAsia" w:ascii="仿宋" w:hAnsi="仿宋" w:eastAsia="仿宋" w:cs="仿宋"/>
          <w:b/>
          <w:color w:val="auto"/>
          <w:sz w:val="24"/>
          <w:highlight w:val="none"/>
        </w:rPr>
        <w:t>▲对不符合装订要求的投标文件，按投标无效处理。</w:t>
      </w:r>
    </w:p>
    <w:p>
      <w:pPr>
        <w:pStyle w:val="220"/>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13.3交易文件对投标文件签署、盖章的要求适用于电子签章（盖章）。</w:t>
      </w:r>
    </w:p>
    <w:p>
      <w:pPr>
        <w:pStyle w:val="220"/>
        <w:spacing w:before="0"/>
        <w:ind w:firstLine="482"/>
        <w:rPr>
          <w:rFonts w:hint="eastAsia" w:ascii="仿宋" w:hAnsi="仿宋" w:eastAsia="仿宋" w:cs="仿宋"/>
          <w:b/>
          <w:color w:val="auto"/>
          <w:szCs w:val="24"/>
          <w:highlight w:val="none"/>
        </w:rPr>
      </w:pPr>
      <w:r>
        <w:rPr>
          <w:rFonts w:hint="eastAsia" w:ascii="仿宋" w:hAnsi="仿宋" w:eastAsia="仿宋" w:cs="仿宋"/>
          <w:b/>
          <w:color w:val="auto"/>
          <w:highlight w:val="none"/>
        </w:rPr>
        <w:t>14.</w:t>
      </w:r>
      <w:r>
        <w:rPr>
          <w:rFonts w:hint="eastAsia" w:ascii="仿宋" w:hAnsi="仿宋" w:eastAsia="仿宋" w:cs="仿宋"/>
          <w:b/>
          <w:color w:val="auto"/>
          <w:szCs w:val="24"/>
          <w:highlight w:val="none"/>
        </w:rPr>
        <w:t>投标文件的提交、补充、修改、撤回</w:t>
      </w:r>
    </w:p>
    <w:p>
      <w:pPr>
        <w:pStyle w:val="22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2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22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14.3采购机构可以视情况延长投标文件提交的截止时间。在上述情况下，采购机构与供应商以前在投标截止期方面的全部权利、责任和义务，将适用于延长至新的投标截止期。</w:t>
      </w:r>
    </w:p>
    <w:p>
      <w:pPr>
        <w:pStyle w:val="22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14.4投标文件备份：供应商递交投标文件以后，在规定的投标截止时间之前，可以书面形式对投标文件进行补充、修改，补充、修改纸质文件须加盖单位公章，并由法定代表人或其授权代表签字或盖章，电子投标文件备份须书面撤回后按所有密封要求重新递交。在投标截止时间以后，不能补充、修改投标文件。</w:t>
      </w:r>
    </w:p>
    <w:p>
      <w:pPr>
        <w:pStyle w:val="22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14.4.1供应商的补充、修改文件，应按本须知规定编制、密封、标志和递交，如果一份投标文件有几份函件时，应注明哪一份有效，否则所作修改视为无效。</w:t>
      </w:r>
    </w:p>
    <w:p>
      <w:pPr>
        <w:pStyle w:val="22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14.4.2供应商对投标文件的修改均要加以说明，否则其修改将被视为无效。</w:t>
      </w:r>
    </w:p>
    <w:p>
      <w:pPr>
        <w:pStyle w:val="22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14.4.3供应商在投标截止时间前，可以对所提交的投标文件进行补充、修改或者撤回，并书面通知采购人、采购机构。补充、修改的内容作为投标文件的组成部分。补充、修改的内容与投标文件不一致的，以补充、修改的内容为准。</w:t>
      </w:r>
    </w:p>
    <w:p>
      <w:pPr>
        <w:pStyle w:val="22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14.4.4</w:t>
      </w:r>
      <w:r>
        <w:rPr>
          <w:rFonts w:hint="eastAsia" w:ascii="仿宋" w:hAnsi="仿宋" w:eastAsia="仿宋" w:cs="仿宋"/>
          <w:color w:val="auto"/>
          <w:highlight w:val="none"/>
        </w:rPr>
        <w:t>在开标后规定的投标有效期内</w:t>
      </w:r>
      <w:r>
        <w:rPr>
          <w:rFonts w:hint="eastAsia" w:ascii="仿宋" w:hAnsi="仿宋" w:eastAsia="仿宋" w:cs="仿宋"/>
          <w:color w:val="auto"/>
          <w:szCs w:val="24"/>
          <w:highlight w:val="none"/>
        </w:rPr>
        <w:t>，供应商不能撤销投标文件。</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15.备份投标文件（如有）以及投标文件的递交</w:t>
      </w:r>
    </w:p>
    <w:p>
      <w:pPr>
        <w:pStyle w:val="22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15.1备份投标文件须</w:t>
      </w:r>
      <w:r>
        <w:rPr>
          <w:rFonts w:hint="eastAsia" w:ascii="仿宋" w:hAnsi="仿宋" w:eastAsia="仿宋" w:cs="仿宋"/>
          <w:b/>
          <w:color w:val="auto"/>
          <w:szCs w:val="24"/>
          <w:highlight w:val="none"/>
        </w:rPr>
        <w:t>密封包装</w:t>
      </w:r>
      <w:r>
        <w:rPr>
          <w:rFonts w:hint="eastAsia" w:ascii="仿宋" w:hAnsi="仿宋" w:eastAsia="仿宋" w:cs="仿宋"/>
          <w:color w:val="auto"/>
          <w:szCs w:val="24"/>
          <w:highlight w:val="none"/>
        </w:rPr>
        <w:t>，密封包装指：所有投标文件应密封包装，包含资格文件、商务技术文件、报价文件三部分。其中，报价文件必须单独密封，未单独密封的，在开标时发生报价泄露的，由供应商自行承担相关责任</w:t>
      </w:r>
      <w:r>
        <w:rPr>
          <w:rFonts w:hint="eastAsia" w:ascii="仿宋" w:hAnsi="仿宋" w:eastAsia="仿宋" w:cs="仿宋"/>
          <w:b/>
          <w:color w:val="auto"/>
          <w:szCs w:val="24"/>
          <w:highlight w:val="none"/>
        </w:rPr>
        <w:t>。没有密封包装的投标文件，将被拒收。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15.2所有备份投标文件包装封面物应写明项目名称、供应商名称(联合体投标的，包装物封面需注明联合体投标，并注明联合体成员各方的名称和联合体协议中约定的牵头人的名称)。</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15.3电子备份投标文件须在“政采云投标客户端”制作生成，并储存在DVD光盘中。备份投标文件应当密封包装并在包装上加盖公章并注明投标项目名称，供应商名称(联合体投标的，包装物封面需注明联合体投标，并注明联合体成员各方的名称和联合体协议中约定的牵头人的名称)</w:t>
      </w:r>
    </w:p>
    <w:p>
      <w:pPr>
        <w:snapToGrid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▲不符合上述制作、存储、密封规定的备份投标文件将被视为无效或者被拒绝接收。</w:t>
      </w:r>
    </w:p>
    <w:p>
      <w:pPr>
        <w:snapToGrid w:val="0"/>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▲供应商仅提交备份投标文件，没有在电子交易平台传输递交投标文件的，投标无效。</w:t>
      </w:r>
    </w:p>
    <w:p>
      <w:pPr>
        <w:pStyle w:val="22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15.4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2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15.5采购机构可以视情况延长投标文件提交的截止时间。在上述情况下，采购机构与供应商以前在投标截止期方面的全部权利、责任和义务，将适用于延长至新的投标截止期。</w:t>
      </w:r>
    </w:p>
    <w:p>
      <w:pPr>
        <w:pStyle w:val="22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15.6如项目须备份投标文件，</w:t>
      </w:r>
      <w:r>
        <w:rPr>
          <w:rFonts w:hint="eastAsia" w:ascii="仿宋" w:hAnsi="仿宋" w:eastAsia="仿宋" w:cs="仿宋"/>
          <w:color w:val="auto"/>
          <w:highlight w:val="none"/>
        </w:rPr>
        <w:t>供应商应按“交易公告”及前附表规定的时间、地点完成采购文件获取手续并将投标文件提交给</w:t>
      </w:r>
      <w:r>
        <w:rPr>
          <w:rFonts w:hint="eastAsia" w:ascii="仿宋" w:hAnsi="仿宋" w:eastAsia="仿宋" w:cs="仿宋"/>
          <w:color w:val="auto"/>
          <w:szCs w:val="24"/>
          <w:highlight w:val="none"/>
        </w:rPr>
        <w:t>采购机构</w:t>
      </w:r>
      <w:r>
        <w:rPr>
          <w:rFonts w:hint="eastAsia" w:ascii="仿宋" w:hAnsi="仿宋" w:eastAsia="仿宋" w:cs="仿宋"/>
          <w:color w:val="auto"/>
          <w:highlight w:val="none"/>
        </w:rPr>
        <w:t>，</w:t>
      </w:r>
      <w:r>
        <w:rPr>
          <w:rFonts w:hint="eastAsia" w:ascii="仿宋" w:hAnsi="仿宋" w:eastAsia="仿宋" w:cs="仿宋"/>
          <w:color w:val="auto"/>
          <w:szCs w:val="24"/>
          <w:highlight w:val="none"/>
        </w:rPr>
        <w:t>采购机构</w:t>
      </w:r>
      <w:r>
        <w:rPr>
          <w:rFonts w:hint="eastAsia" w:ascii="仿宋" w:hAnsi="仿宋" w:eastAsia="仿宋" w:cs="仿宋"/>
          <w:color w:val="auto"/>
          <w:highlight w:val="none"/>
        </w:rPr>
        <w:t>将拒绝接受逾期送达的投标文件和未按公告要求完成采购文件获取的供应商递交的投标文件。</w:t>
      </w:r>
    </w:p>
    <w:bookmarkEnd w:id="54"/>
    <w:bookmarkEnd w:id="55"/>
    <w:p>
      <w:pPr>
        <w:pStyle w:val="22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5"/>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有交易文件第四部分</w:t>
      </w:r>
      <w:r>
        <w:rPr>
          <w:rFonts w:hint="eastAsia" w:ascii="仿宋" w:hAnsi="仿宋" w:eastAsia="仿宋" w:cs="仿宋"/>
          <w:color w:val="auto"/>
          <w:highlight w:val="none"/>
        </w:rPr>
        <w:t>第13项规定</w:t>
      </w:r>
      <w:r>
        <w:rPr>
          <w:rFonts w:hint="eastAsia" w:ascii="仿宋" w:hAnsi="仿宋" w:eastAsia="仿宋" w:cs="仿宋"/>
          <w:color w:val="auto"/>
          <w:szCs w:val="21"/>
          <w:highlight w:val="none"/>
        </w:rPr>
        <w:t>的情形之一的，投标无效：</w:t>
      </w:r>
    </w:p>
    <w:p>
      <w:pPr>
        <w:pStyle w:val="22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供应商的投标文件中承</w:t>
      </w:r>
      <w:r>
        <w:rPr>
          <w:rFonts w:hint="eastAsia" w:ascii="仿宋" w:hAnsi="仿宋" w:eastAsia="仿宋" w:cs="仿宋"/>
          <w:b/>
          <w:color w:val="auto"/>
          <w:sz w:val="24"/>
          <w:szCs w:val="21"/>
          <w:highlight w:val="none"/>
        </w:rPr>
        <w:t>诺的投标有效期少于交易文件中载明的投标有效期的，投标无效。</w:t>
      </w:r>
    </w:p>
    <w:p>
      <w:pPr>
        <w:pStyle w:val="22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22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17.3在原定投标有效期满之前，如果出现特殊情况，采购机构可以以公告形式通知供应商延长投标有效期。供应商同意延长的，不得要求或被允许修改其投标文件，供应商拒绝延长的，其投标无效。</w:t>
      </w:r>
    </w:p>
    <w:p>
      <w:pPr>
        <w:pStyle w:val="220"/>
        <w:spacing w:before="0"/>
        <w:ind w:firstLine="643"/>
        <w:rPr>
          <w:rFonts w:hint="eastAsia" w:ascii="仿宋" w:hAnsi="仿宋" w:eastAsia="仿宋" w:cs="仿宋"/>
          <w:b/>
          <w:color w:val="auto"/>
          <w:sz w:val="32"/>
          <w:highlight w:val="none"/>
        </w:rPr>
      </w:pPr>
      <w:bookmarkStart w:id="57" w:name="_Toc91899897"/>
    </w:p>
    <w:p>
      <w:pPr>
        <w:pStyle w:val="220"/>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br w:type="page"/>
      </w:r>
      <w:r>
        <w:rPr>
          <w:rFonts w:hint="eastAsia" w:ascii="仿宋" w:hAnsi="仿宋" w:eastAsia="仿宋" w:cs="仿宋"/>
          <w:b/>
          <w:color w:val="auto"/>
          <w:sz w:val="32"/>
          <w:highlight w:val="none"/>
        </w:rPr>
        <w:t>四、开标</w:t>
      </w:r>
      <w:bookmarkEnd w:id="57"/>
      <w:r>
        <w:rPr>
          <w:rFonts w:hint="eastAsia" w:ascii="仿宋" w:hAnsi="仿宋" w:eastAsia="仿宋" w:cs="仿宋"/>
          <w:b/>
          <w:color w:val="auto"/>
          <w:sz w:val="32"/>
          <w:highlight w:val="none"/>
        </w:rPr>
        <w:t>、资格审查与信用信息查询</w:t>
      </w:r>
    </w:p>
    <w:p>
      <w:pPr>
        <w:pStyle w:val="499"/>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p>
    <w:p>
      <w:pPr>
        <w:pStyle w:val="499"/>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18.1采购机构按照交易文件规定的时间通过电子交易平台组织开标，所有供应商均应当准时在线参加。供应商不足3家的，不得开标。</w:t>
      </w:r>
    </w:p>
    <w:p>
      <w:pPr>
        <w:pStyle w:val="499"/>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18.2开标时，电子交易平台按开标时间自动提取所有投标文件。采购机构依托电子交易平台发起开始解密指令，供应商按照平台提示和交易文件的规定在半小时内完成在线解密。</w:t>
      </w:r>
    </w:p>
    <w:p>
      <w:pPr>
        <w:pStyle w:val="499"/>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18.3项目允许提供备份文件时，仅因政采云平台或CA原因无法读取或电子开评标无法正常进行，采购代理将按顺序启用备份文件完成开标。供应商因自身原因（不会使用、使用不当等）未按时完成解密的，投标无效，不启用备份文件。</w:t>
      </w:r>
      <w:r>
        <w:rPr>
          <w:rFonts w:hint="eastAsia" w:ascii="仿宋" w:hAnsi="仿宋" w:eastAsia="仿宋" w:cs="仿宋"/>
          <w:b/>
          <w:color w:val="auto"/>
          <w:sz w:val="24"/>
          <w:highlight w:val="none"/>
        </w:rPr>
        <w:t>投标文件已按时解密的，备份投标文件自动失效。</w:t>
      </w:r>
    </w:p>
    <w:p>
      <w:pPr>
        <w:pStyle w:val="499"/>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18.4备份投标文件的接收在交易文件确定的时间、地点进行。</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19.资格审查</w:t>
      </w:r>
    </w:p>
    <w:p>
      <w:pPr>
        <w:pStyle w:val="22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19.1开标后，采购人将依法对供应商的资格进行审查。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采购人或采购机构依据法律法规和交易文件的规定，对供应商的基本资格条件、特定资格条件进行审查。</w:t>
      </w:r>
    </w:p>
    <w:p>
      <w:pPr>
        <w:pStyle w:val="22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19.3供应商未按照交易文件要求提供与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供应商不具备交易文件中规定的资格要求，其投标无效。</w:t>
      </w:r>
    </w:p>
    <w:p>
      <w:pPr>
        <w:pStyle w:val="22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19.4对未通过资格审查的供应商，采购人或采购机构告知其未通过的原因。</w:t>
      </w:r>
    </w:p>
    <w:p>
      <w:pPr>
        <w:pStyle w:val="22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19.5合格供应商不足3家的，不再评标。</w:t>
      </w:r>
    </w:p>
    <w:p>
      <w:pPr>
        <w:pStyle w:val="22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22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20.1信用信息查询渠道及截止时间：采购人或采购机构将通过“信用中国”网站(www.creditchina.gov.cn)、中国政府采购网(www.ccgp.gov.cn)渠道查询供应商投标截止时间前的信用记录。</w:t>
      </w:r>
    </w:p>
    <w:p>
      <w:pPr>
        <w:pStyle w:val="22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20.2信用信息查询记录和证据留存的具体方式：现场查询的供应商的信用记录、查询结果经确认后将与采购文件一起存档。</w:t>
      </w:r>
    </w:p>
    <w:p>
      <w:pPr>
        <w:pStyle w:val="22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20.3信用信息的使用规则：经查询列入失信被执行人名单、重大税收违法案件当事人名单、政府采购严重违法失信行为记录名单的供应商将被拒绝参与政府采购活动。</w:t>
      </w:r>
    </w:p>
    <w:p>
      <w:pPr>
        <w:pStyle w:val="22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220"/>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bookmarkStart w:id="58" w:name="_Hlt75236101"/>
      <w:bookmarkEnd w:id="58"/>
      <w:bookmarkStart w:id="59" w:name="_Toc91899902"/>
      <w:r>
        <w:rPr>
          <w:rFonts w:hint="eastAsia" w:ascii="仿宋" w:hAnsi="仿宋" w:eastAsia="仿宋" w:cs="仿宋"/>
          <w:b/>
          <w:color w:val="auto"/>
          <w:sz w:val="36"/>
          <w:szCs w:val="36"/>
          <w:highlight w:val="none"/>
        </w:rPr>
        <w:t>五、评标</w:t>
      </w:r>
      <w:bookmarkEnd w:id="59"/>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w:t>
      </w:r>
      <w:r>
        <w:rPr>
          <w:rFonts w:hint="eastAsia" w:ascii="仿宋" w:hAnsi="仿宋" w:eastAsia="仿宋" w:cs="仿宋"/>
          <w:color w:val="auto"/>
          <w:sz w:val="24"/>
          <w:highlight w:val="none"/>
        </w:rPr>
        <w:t>本项目原则上采用电子评审方法，若因政采云平台原因（或CA软件系统）无法读取或电子开评标无法正常进行，采购代理机构将开启所有供应商递交的纸质备份投标文件，以完成开、评标，电子投标文件及以介质存储的数据电文形式的备份投标文件自动失效。评标方法及评分标准等。详见交易文件第四部分“评标方法及评分标准”</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六、定标</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22.确定中标供应商</w:t>
      </w:r>
    </w:p>
    <w:p>
      <w:pPr>
        <w:pStyle w:val="220"/>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采购机构将自评审结束之日起2个工作日内将评审报告送交采购人。采购人将自收到评审报告之日起5个工作日内在评审报告推荐的中标候选人中按顺序确定中标供应商。</w:t>
      </w:r>
    </w:p>
    <w:p>
      <w:pPr>
        <w:pStyle w:val="220"/>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23.中标通知与中标结果公告</w:t>
      </w:r>
    </w:p>
    <w:p>
      <w:pPr>
        <w:widowControl/>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23.1采购机构将在自成交人确定之日起2个工作日内，发布交易公告的网站上公告中标结果，同时发出中标通知书。</w:t>
      </w:r>
    </w:p>
    <w:p>
      <w:pPr>
        <w:widowControl/>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成交人名称、地址和中标金额，主要中标标的的名称、规格型号、数量、单价、服务要求，开标记录、未中标情况说明、中标公告期限以及评审专家名单、评分汇总及明细。</w:t>
      </w:r>
    </w:p>
    <w:p>
      <w:pPr>
        <w:widowControl/>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24.</w:t>
      </w:r>
      <w:r>
        <w:rPr>
          <w:rFonts w:hint="eastAsia" w:ascii="仿宋" w:hAnsi="仿宋" w:eastAsia="仿宋" w:cs="仿宋"/>
          <w:color w:val="auto"/>
          <w:highlight w:val="none"/>
        </w:rPr>
        <w:t>合同主要条款详见第五部分拟签订的合同文本。</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25.合同的签订</w:t>
      </w:r>
    </w:p>
    <w:p>
      <w:pPr>
        <w:widowControl/>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采购人与成交人应当在中标通知书发出之日起三十日内，按照交易文件确定的事项签订政府采购合同。</w:t>
      </w:r>
    </w:p>
    <w:p>
      <w:pPr>
        <w:pStyle w:val="220"/>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25.2成交人按规定的日期、时间、地点，由法定代表人或其授权代表与采购人代表签订合同。如成交人为联合体的，由联合体成员各方法定代表人或其授权代表与采购人代表签订合同。</w:t>
      </w:r>
    </w:p>
    <w:p>
      <w:pPr>
        <w:pStyle w:val="22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22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26.履约保证金</w:t>
      </w:r>
    </w:p>
    <w:p>
      <w:pPr>
        <w:tabs>
          <w:tab w:val="left" w:pos="0"/>
        </w:tabs>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。履约保证金的数额不得超过政府采购合同金额的2%。</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220"/>
        <w:snapToGrid w:val="0"/>
        <w:spacing w:before="0"/>
        <w:ind w:firstLine="0" w:firstLineChars="0"/>
        <w:rPr>
          <w:rFonts w:hint="eastAsia" w:ascii="仿宋" w:hAnsi="仿宋" w:eastAsia="仿宋" w:cs="仿宋"/>
          <w:color w:val="auto"/>
          <w:highlight w:val="none"/>
        </w:rPr>
      </w:pPr>
      <w:r>
        <w:rPr>
          <w:rFonts w:hint="eastAsia" w:ascii="仿宋" w:hAnsi="仿宋" w:eastAsia="仿宋" w:cs="仿宋"/>
          <w:b/>
          <w:color w:val="auto"/>
          <w:highlight w:val="none"/>
        </w:rPr>
        <w:t>27</w:t>
      </w:r>
      <w:r>
        <w:rPr>
          <w:rFonts w:hint="eastAsia" w:ascii="仿宋" w:hAnsi="仿宋" w:eastAsia="仿宋" w:cs="仿宋"/>
          <w:b/>
          <w:color w:val="auto"/>
          <w:szCs w:val="24"/>
          <w:highlight w:val="none"/>
        </w:rPr>
        <w:t>.电子交易活动的中止。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22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27.1电子交易平台发生故障而无法登录访问的；</w:t>
      </w:r>
    </w:p>
    <w:p>
      <w:pPr>
        <w:pStyle w:val="22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22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22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27.4病毒发作导致不能进行正常操作的；</w:t>
      </w:r>
    </w:p>
    <w:p>
      <w:pPr>
        <w:pStyle w:val="22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22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360" w:firstLineChars="150"/>
        <w:jc w:val="center"/>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5"/>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28.验收</w:t>
      </w:r>
    </w:p>
    <w:p>
      <w:pPr>
        <w:tabs>
          <w:tab w:val="left" w:pos="0"/>
        </w:tabs>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28.1采购人应当组织对供应商履约的验收。验收采用采购人自行组织验收，参照萧政办发[2014]217号文件执行。验收方成员应当在验收书上签字，并承担相应的法律责任。</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28.2除28.1规定情形外，采购人可以自行验收或邀请参加本项目的其他供应商或者第三方机构参与验收。</w:t>
      </w:r>
    </w:p>
    <w:p>
      <w:pPr>
        <w:adjustRightInd/>
        <w:spacing w:line="360" w:lineRule="auto"/>
        <w:ind w:firstLine="3845" w:firstLineChars="1197"/>
        <w:outlineLvl w:val="0"/>
        <w:rPr>
          <w:rFonts w:hint="eastAsia" w:ascii="仿宋" w:hAnsi="仿宋" w:eastAsia="仿宋" w:cs="仿宋"/>
          <w:b/>
          <w:color w:val="auto"/>
          <w:sz w:val="32"/>
          <w:szCs w:val="32"/>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40"/>
    <w:bookmarkEnd w:id="41"/>
    <w:p>
      <w:pPr>
        <w:pStyle w:val="4"/>
        <w:rPr>
          <w:rFonts w:hint="eastAsia" w:ascii="仿宋" w:hAnsi="仿宋" w:eastAsia="仿宋" w:cs="仿宋"/>
          <w:color w:val="auto"/>
          <w:highlight w:val="none"/>
        </w:rPr>
      </w:pPr>
      <w:bookmarkStart w:id="60" w:name="第四部分"/>
      <w:r>
        <w:rPr>
          <w:rFonts w:hint="eastAsia" w:ascii="仿宋" w:hAnsi="仿宋" w:eastAsia="仿宋" w:cs="仿宋"/>
          <w:color w:val="auto"/>
          <w:highlight w:val="none"/>
        </w:rPr>
        <w:t>第三部分采购需求</w:t>
      </w:r>
    </w:p>
    <w:p>
      <w:pPr>
        <w:snapToGrid w:val="0"/>
        <w:spacing w:line="360" w:lineRule="auto"/>
        <w:ind w:firstLine="281" w:firstLineChars="100"/>
        <w:jc w:val="center"/>
        <w:rPr>
          <w:rFonts w:ascii="仿宋" w:hAnsi="仿宋" w:eastAsia="仿宋" w:cs="仿宋"/>
          <w:b/>
          <w:bCs/>
          <w:sz w:val="28"/>
          <w:szCs w:val="28"/>
        </w:rPr>
      </w:pPr>
      <w:r>
        <w:rPr>
          <w:rFonts w:hint="eastAsia" w:ascii="仿宋" w:hAnsi="仿宋" w:eastAsia="仿宋" w:cs="仿宋"/>
          <w:b/>
          <w:bCs/>
          <w:sz w:val="28"/>
          <w:szCs w:val="28"/>
        </w:rPr>
        <w:t>一、交易一览表</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标项：1</w:t>
      </w:r>
    </w:p>
    <w:tbl>
      <w:tblPr>
        <w:tblStyle w:val="61"/>
        <w:tblW w:w="9180" w:type="dxa"/>
        <w:jc w:val="center"/>
        <w:tblLayout w:type="fixed"/>
        <w:tblCellMar>
          <w:top w:w="0" w:type="dxa"/>
          <w:left w:w="0" w:type="dxa"/>
          <w:bottom w:w="0" w:type="dxa"/>
          <w:right w:w="0" w:type="dxa"/>
        </w:tblCellMar>
      </w:tblPr>
      <w:tblGrid>
        <w:gridCol w:w="754"/>
        <w:gridCol w:w="4105"/>
        <w:gridCol w:w="2293"/>
        <w:gridCol w:w="1013"/>
        <w:gridCol w:w="1015"/>
      </w:tblGrid>
      <w:tr>
        <w:tblPrEx>
          <w:tblCellMar>
            <w:top w:w="0" w:type="dxa"/>
            <w:left w:w="0" w:type="dxa"/>
            <w:bottom w:w="0" w:type="dxa"/>
            <w:right w:w="0" w:type="dxa"/>
          </w:tblCellMar>
        </w:tblPrEx>
        <w:trPr>
          <w:cantSplit/>
          <w:trHeight w:val="644" w:hRule="atLeast"/>
          <w:jc w:val="center"/>
        </w:trPr>
        <w:tc>
          <w:tcPr>
            <w:tcW w:w="7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序号</w:t>
            </w:r>
          </w:p>
        </w:tc>
        <w:tc>
          <w:tcPr>
            <w:tcW w:w="4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名称</w:t>
            </w:r>
          </w:p>
        </w:tc>
        <w:tc>
          <w:tcPr>
            <w:tcW w:w="22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规格型号与参数</w:t>
            </w:r>
          </w:p>
        </w:tc>
        <w:tc>
          <w:tcPr>
            <w:tcW w:w="10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单位</w:t>
            </w:r>
          </w:p>
        </w:tc>
        <w:tc>
          <w:tcPr>
            <w:tcW w:w="10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数量</w:t>
            </w:r>
          </w:p>
        </w:tc>
      </w:tr>
      <w:tr>
        <w:tblPrEx>
          <w:tblCellMar>
            <w:top w:w="0" w:type="dxa"/>
            <w:left w:w="0" w:type="dxa"/>
            <w:bottom w:w="0" w:type="dxa"/>
            <w:right w:w="0" w:type="dxa"/>
          </w:tblCellMar>
        </w:tblPrEx>
        <w:trPr>
          <w:cantSplit/>
          <w:trHeight w:val="701" w:hRule="atLeast"/>
          <w:jc w:val="center"/>
        </w:trPr>
        <w:tc>
          <w:tcPr>
            <w:tcW w:w="75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1</w:t>
            </w:r>
          </w:p>
        </w:tc>
        <w:tc>
          <w:tcPr>
            <w:tcW w:w="410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萧山区总工会宣传服务项目（2023年）</w:t>
            </w:r>
          </w:p>
        </w:tc>
        <w:tc>
          <w:tcPr>
            <w:tcW w:w="22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详见招标需求</w:t>
            </w:r>
          </w:p>
        </w:tc>
        <w:tc>
          <w:tcPr>
            <w:tcW w:w="101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项</w:t>
            </w:r>
          </w:p>
        </w:tc>
        <w:tc>
          <w:tcPr>
            <w:tcW w:w="101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rPr>
            </w:pPr>
            <w:r>
              <w:rPr>
                <w:rFonts w:hint="eastAsia" w:ascii="仿宋" w:hAnsi="仿宋" w:eastAsia="仿宋" w:cs="仿宋"/>
                <w:sz w:val="24"/>
              </w:rPr>
              <w:t>1</w:t>
            </w:r>
          </w:p>
        </w:tc>
      </w:tr>
    </w:tbl>
    <w:p>
      <w:pPr>
        <w:spacing w:after="120"/>
        <w:ind w:firstLine="480" w:firstLineChars="200"/>
        <w:rPr>
          <w:rFonts w:ascii="仿宋" w:hAnsi="仿宋" w:eastAsia="仿宋" w:cs="仿宋"/>
          <w:sz w:val="24"/>
        </w:rPr>
      </w:pPr>
    </w:p>
    <w:p>
      <w:pPr>
        <w:numPr>
          <w:ilvl w:val="0"/>
          <w:numId w:val="7"/>
        </w:numPr>
        <w:adjustRightInd/>
        <w:spacing w:before="120" w:beforeLines="50" w:after="120" w:afterLines="50"/>
        <w:jc w:val="center"/>
        <w:rPr>
          <w:rFonts w:ascii="仿宋" w:hAnsi="仿宋" w:eastAsia="仿宋" w:cs="仿宋"/>
          <w:b/>
          <w:color w:val="FF0000"/>
          <w:sz w:val="28"/>
          <w:szCs w:val="28"/>
        </w:rPr>
      </w:pPr>
      <w:r>
        <w:rPr>
          <w:rFonts w:hint="eastAsia" w:ascii="仿宋" w:hAnsi="仿宋" w:eastAsia="仿宋" w:cs="仿宋"/>
          <w:b/>
          <w:color w:val="FF0000"/>
          <w:sz w:val="28"/>
          <w:szCs w:val="28"/>
        </w:rPr>
        <w:t>交易需求</w:t>
      </w:r>
    </w:p>
    <w:p>
      <w:pPr>
        <w:spacing w:line="360" w:lineRule="auto"/>
        <w:outlineLvl w:val="1"/>
        <w:rPr>
          <w:rFonts w:ascii="仿宋" w:hAnsi="仿宋" w:eastAsia="仿宋" w:cs="仿宋"/>
          <w:b/>
          <w:sz w:val="24"/>
          <w:szCs w:val="32"/>
        </w:rPr>
      </w:pPr>
      <w:bookmarkStart w:id="61" w:name="_Toc21309"/>
      <w:bookmarkStart w:id="62" w:name="_Toc29158"/>
      <w:bookmarkStart w:id="63" w:name="_Toc22535"/>
      <w:r>
        <w:rPr>
          <w:rFonts w:hint="eastAsia" w:ascii="仿宋" w:hAnsi="仿宋" w:eastAsia="仿宋" w:cs="仿宋"/>
          <w:b/>
          <w:sz w:val="24"/>
          <w:szCs w:val="32"/>
        </w:rPr>
        <w:t>一、</w:t>
      </w:r>
      <w:bookmarkEnd w:id="61"/>
      <w:bookmarkEnd w:id="62"/>
      <w:r>
        <w:rPr>
          <w:rFonts w:hint="eastAsia" w:ascii="仿宋" w:hAnsi="仿宋" w:eastAsia="仿宋" w:cs="仿宋"/>
          <w:b/>
          <w:sz w:val="24"/>
          <w:szCs w:val="32"/>
        </w:rPr>
        <w:t>采购概况</w:t>
      </w:r>
      <w:bookmarkEnd w:id="63"/>
    </w:p>
    <w:tbl>
      <w:tblPr>
        <w:tblStyle w:val="61"/>
        <w:tblpPr w:leftFromText="180" w:rightFromText="180" w:vertAnchor="text" w:horzAnchor="page" w:tblpX="1171" w:tblpY="37"/>
        <w:tblOverlap w:val="never"/>
        <w:tblW w:w="9566" w:type="dxa"/>
        <w:tblInd w:w="0" w:type="dxa"/>
        <w:tblLayout w:type="fixed"/>
        <w:tblCellMar>
          <w:top w:w="0" w:type="dxa"/>
          <w:left w:w="108" w:type="dxa"/>
          <w:bottom w:w="0" w:type="dxa"/>
          <w:right w:w="108" w:type="dxa"/>
        </w:tblCellMar>
      </w:tblPr>
      <w:tblGrid>
        <w:gridCol w:w="637"/>
        <w:gridCol w:w="2564"/>
        <w:gridCol w:w="6365"/>
      </w:tblGrid>
      <w:tr>
        <w:tblPrEx>
          <w:tblCellMar>
            <w:top w:w="0" w:type="dxa"/>
            <w:left w:w="108" w:type="dxa"/>
            <w:bottom w:w="0" w:type="dxa"/>
            <w:right w:w="108" w:type="dxa"/>
          </w:tblCellMar>
        </w:tblPrEx>
        <w:trPr>
          <w:trHeight w:val="478" w:hRule="atLeast"/>
        </w:trPr>
        <w:tc>
          <w:tcPr>
            <w:tcW w:w="6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lang w:eastAsia="en-US"/>
              </w:rPr>
            </w:pPr>
            <w:bookmarkStart w:id="64" w:name="_Toc18304"/>
            <w:r>
              <w:rPr>
                <w:rFonts w:hint="eastAsia" w:ascii="仿宋" w:hAnsi="仿宋" w:eastAsia="仿宋" w:cs="仿宋"/>
                <w:b/>
                <w:bCs/>
                <w:kern w:val="0"/>
                <w:sz w:val="24"/>
                <w:lang w:eastAsia="en-US"/>
              </w:rPr>
              <w:t>序号</w:t>
            </w:r>
          </w:p>
        </w:tc>
        <w:tc>
          <w:tcPr>
            <w:tcW w:w="25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lang w:eastAsia="en-US"/>
              </w:rPr>
            </w:pPr>
            <w:r>
              <w:rPr>
                <w:rFonts w:hint="eastAsia" w:ascii="仿宋" w:hAnsi="仿宋" w:eastAsia="仿宋" w:cs="仿宋"/>
                <w:b/>
                <w:bCs/>
                <w:kern w:val="0"/>
                <w:sz w:val="24"/>
                <w:lang w:eastAsia="en-US"/>
              </w:rPr>
              <w:t>项目类别</w:t>
            </w:r>
          </w:p>
        </w:tc>
        <w:tc>
          <w:tcPr>
            <w:tcW w:w="6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lang w:eastAsia="en-US"/>
              </w:rPr>
            </w:pPr>
            <w:r>
              <w:rPr>
                <w:rFonts w:hint="eastAsia" w:ascii="仿宋" w:hAnsi="仿宋" w:eastAsia="仿宋" w:cs="仿宋"/>
                <w:b/>
                <w:bCs/>
                <w:kern w:val="0"/>
                <w:sz w:val="24"/>
                <w:lang w:eastAsia="en-US"/>
              </w:rPr>
              <w:t>具体内容</w:t>
            </w:r>
          </w:p>
        </w:tc>
      </w:tr>
      <w:tr>
        <w:tblPrEx>
          <w:tblCellMar>
            <w:top w:w="0" w:type="dxa"/>
            <w:left w:w="108" w:type="dxa"/>
            <w:bottom w:w="0" w:type="dxa"/>
            <w:right w:w="108" w:type="dxa"/>
          </w:tblCellMar>
        </w:tblPrEx>
        <w:trPr>
          <w:trHeight w:val="1272" w:hRule="atLeast"/>
        </w:trPr>
        <w:tc>
          <w:tcPr>
            <w:tcW w:w="6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lang w:eastAsia="en-US"/>
              </w:rPr>
            </w:pPr>
            <w:r>
              <w:rPr>
                <w:rFonts w:hint="eastAsia" w:ascii="仿宋" w:hAnsi="仿宋" w:eastAsia="仿宋" w:cs="仿宋"/>
                <w:kern w:val="0"/>
                <w:sz w:val="24"/>
                <w:lang w:eastAsia="en-US"/>
              </w:rPr>
              <w:t>1</w:t>
            </w:r>
          </w:p>
        </w:tc>
        <w:tc>
          <w:tcPr>
            <w:tcW w:w="25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rPr>
            </w:pPr>
            <w:r>
              <w:rPr>
                <w:rFonts w:hint="eastAsia" w:ascii="仿宋" w:hAnsi="仿宋" w:eastAsia="仿宋" w:cs="仿宋"/>
                <w:sz w:val="24"/>
              </w:rPr>
              <w:t>宣传服务</w:t>
            </w:r>
          </w:p>
        </w:tc>
        <w:tc>
          <w:tcPr>
            <w:tcW w:w="63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在平面媒体上采编刊发萧山工会工作的图文宣传报道。</w:t>
            </w:r>
          </w:p>
        </w:tc>
      </w:tr>
      <w:bookmarkEnd w:id="64"/>
    </w:tbl>
    <w:p>
      <w:pPr>
        <w:outlineLvl w:val="1"/>
        <w:rPr>
          <w:rFonts w:ascii="仿宋" w:hAnsi="仿宋" w:eastAsia="仿宋" w:cs="仿宋"/>
          <w:b/>
        </w:rPr>
      </w:pPr>
    </w:p>
    <w:p>
      <w:pPr>
        <w:outlineLvl w:val="1"/>
        <w:rPr>
          <w:rFonts w:ascii="仿宋" w:hAnsi="仿宋" w:eastAsia="仿宋" w:cs="仿宋"/>
          <w:b/>
          <w:sz w:val="24"/>
          <w:szCs w:val="32"/>
        </w:rPr>
      </w:pPr>
      <w:r>
        <w:rPr>
          <w:rFonts w:hint="eastAsia" w:ascii="仿宋" w:hAnsi="仿宋" w:eastAsia="仿宋" w:cs="仿宋"/>
          <w:w w:val="90"/>
        </w:rPr>
        <w:t>▲</w:t>
      </w:r>
      <w:r>
        <w:rPr>
          <w:rFonts w:hint="eastAsia" w:ascii="仿宋" w:hAnsi="仿宋" w:eastAsia="仿宋" w:cs="仿宋"/>
          <w:b/>
          <w:sz w:val="24"/>
          <w:szCs w:val="32"/>
        </w:rPr>
        <w:t>二、详细技术要求</w:t>
      </w:r>
    </w:p>
    <w:p>
      <w:pPr>
        <w:pStyle w:val="2"/>
        <w:rPr>
          <w:rFonts w:ascii="仿宋" w:hAnsi="仿宋" w:eastAsia="仿宋" w:cs="仿宋"/>
        </w:rPr>
      </w:pPr>
      <w:r>
        <w:rPr>
          <w:rFonts w:hint="eastAsia" w:ascii="仿宋" w:hAnsi="仿宋" w:eastAsia="仿宋" w:cs="仿宋"/>
        </w:rPr>
        <w:t>1、高质量采编出版《萧山工人》季报四期；</w:t>
      </w:r>
    </w:p>
    <w:p>
      <w:pPr>
        <w:pStyle w:val="2"/>
        <w:rPr>
          <w:rFonts w:ascii="仿宋" w:hAnsi="仿宋" w:eastAsia="仿宋" w:cs="仿宋"/>
        </w:rPr>
      </w:pPr>
      <w:r>
        <w:rPr>
          <w:rFonts w:hint="eastAsia" w:ascii="仿宋" w:hAnsi="仿宋" w:eastAsia="仿宋" w:cs="仿宋"/>
        </w:rPr>
        <w:t>2、结合五一劳动节、杭州工匠日等重要节点，采编发布各不少于12期专栏宣传；</w:t>
      </w:r>
    </w:p>
    <w:p>
      <w:pPr>
        <w:pStyle w:val="2"/>
        <w:rPr>
          <w:rFonts w:ascii="仿宋" w:hAnsi="仿宋" w:eastAsia="仿宋" w:cs="仿宋"/>
        </w:rPr>
      </w:pPr>
      <w:r>
        <w:rPr>
          <w:rFonts w:hint="eastAsia" w:ascii="仿宋" w:hAnsi="仿宋" w:eastAsia="仿宋" w:cs="仿宋"/>
        </w:rPr>
        <w:t>3、根据甲方需求，发布专版宣传不少于2期；</w:t>
      </w:r>
    </w:p>
    <w:p>
      <w:pPr>
        <w:pStyle w:val="2"/>
        <w:rPr>
          <w:rFonts w:ascii="仿宋" w:hAnsi="仿宋" w:eastAsia="仿宋" w:cs="仿宋"/>
        </w:rPr>
      </w:pPr>
      <w:r>
        <w:rPr>
          <w:rFonts w:hint="eastAsia" w:ascii="仿宋" w:hAnsi="仿宋" w:eastAsia="仿宋" w:cs="仿宋"/>
        </w:rPr>
        <w:t>4、协助工会做好图片摄影、短视频拍摄、通讯员培训等工作。</w:t>
      </w:r>
    </w:p>
    <w:p>
      <w:pPr>
        <w:pStyle w:val="2"/>
        <w:rPr>
          <w:rFonts w:ascii="仿宋" w:hAnsi="仿宋" w:eastAsia="仿宋" w:cs="仿宋"/>
        </w:rPr>
      </w:pPr>
      <w:r>
        <w:rPr>
          <w:rFonts w:hint="eastAsia" w:ascii="仿宋" w:hAnsi="仿宋" w:eastAsia="仿宋" w:cs="仿宋"/>
        </w:rPr>
        <w:t>5、完成全年头版发稿10篇以上的任务，在全区范围有较大影响。</w:t>
      </w:r>
    </w:p>
    <w:p>
      <w:pPr>
        <w:pStyle w:val="2"/>
        <w:rPr>
          <w:rFonts w:ascii="仿宋" w:hAnsi="仿宋" w:eastAsia="仿宋" w:cs="仿宋"/>
        </w:rPr>
      </w:pPr>
      <w:r>
        <w:rPr>
          <w:rFonts w:ascii="仿宋" w:hAnsi="仿宋" w:eastAsia="仿宋" w:cs="仿宋"/>
        </w:rPr>
        <w:t>6</w:t>
      </w:r>
      <w:r>
        <w:rPr>
          <w:rFonts w:hint="eastAsia" w:ascii="仿宋" w:hAnsi="仿宋" w:eastAsia="仿宋" w:cs="仿宋"/>
        </w:rPr>
        <w:t>、定专人负责工会宣传工作，深入挖掘萧山工会工作的品牌亮点，协助总结宣传。</w:t>
      </w:r>
    </w:p>
    <w:p>
      <w:pPr>
        <w:outlineLvl w:val="1"/>
        <w:rPr>
          <w:rFonts w:ascii="仿宋" w:hAnsi="仿宋" w:eastAsia="仿宋" w:cs="仿宋"/>
          <w:b/>
          <w:sz w:val="24"/>
          <w:szCs w:val="32"/>
        </w:rPr>
      </w:pPr>
      <w:r>
        <w:rPr>
          <w:rFonts w:hint="eastAsia" w:ascii="仿宋" w:hAnsi="仿宋" w:eastAsia="仿宋" w:cs="仿宋"/>
          <w:b/>
          <w:sz w:val="24"/>
          <w:szCs w:val="32"/>
        </w:rPr>
        <w:t>三、商务要求</w:t>
      </w:r>
    </w:p>
    <w:tbl>
      <w:tblPr>
        <w:tblStyle w:val="61"/>
        <w:tblW w:w="91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843"/>
        <w:gridCol w:w="6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817" w:type="dxa"/>
            <w:vAlign w:val="center"/>
          </w:tcPr>
          <w:p>
            <w:pPr>
              <w:spacing w:line="276" w:lineRule="auto"/>
              <w:jc w:val="center"/>
              <w:rPr>
                <w:rFonts w:ascii="仿宋" w:hAnsi="仿宋" w:eastAsia="仿宋" w:cs="仿宋"/>
                <w:b/>
                <w:w w:val="90"/>
              </w:rPr>
            </w:pPr>
            <w:r>
              <w:rPr>
                <w:rFonts w:hint="eastAsia" w:ascii="仿宋" w:hAnsi="仿宋" w:eastAsia="仿宋" w:cs="仿宋"/>
                <w:b/>
                <w:w w:val="90"/>
              </w:rPr>
              <w:t>序号</w:t>
            </w:r>
          </w:p>
        </w:tc>
        <w:tc>
          <w:tcPr>
            <w:tcW w:w="1843" w:type="dxa"/>
            <w:vAlign w:val="center"/>
          </w:tcPr>
          <w:p>
            <w:pPr>
              <w:spacing w:line="276" w:lineRule="auto"/>
              <w:jc w:val="center"/>
              <w:rPr>
                <w:rFonts w:ascii="仿宋" w:hAnsi="仿宋" w:eastAsia="仿宋" w:cs="仿宋"/>
                <w:b/>
                <w:w w:val="90"/>
              </w:rPr>
            </w:pPr>
            <w:r>
              <w:rPr>
                <w:rFonts w:hint="eastAsia" w:ascii="仿宋" w:hAnsi="仿宋" w:eastAsia="仿宋" w:cs="仿宋"/>
                <w:b/>
                <w:w w:val="90"/>
              </w:rPr>
              <w:t>内容</w:t>
            </w:r>
          </w:p>
        </w:tc>
        <w:tc>
          <w:tcPr>
            <w:tcW w:w="6520" w:type="dxa"/>
            <w:vAlign w:val="center"/>
          </w:tcPr>
          <w:p>
            <w:pPr>
              <w:spacing w:line="276" w:lineRule="auto"/>
              <w:jc w:val="center"/>
              <w:rPr>
                <w:rFonts w:ascii="仿宋" w:hAnsi="仿宋" w:eastAsia="仿宋" w:cs="仿宋"/>
                <w:b/>
                <w:w w:val="90"/>
              </w:rPr>
            </w:pPr>
            <w:r>
              <w:rPr>
                <w:rFonts w:hint="eastAsia" w:ascii="仿宋" w:hAnsi="仿宋" w:eastAsia="仿宋" w:cs="仿宋"/>
                <w:b/>
                <w:w w:val="90"/>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17" w:type="dxa"/>
            <w:vAlign w:val="center"/>
          </w:tcPr>
          <w:p>
            <w:pPr>
              <w:spacing w:line="276" w:lineRule="auto"/>
              <w:jc w:val="center"/>
              <w:rPr>
                <w:rFonts w:ascii="仿宋" w:hAnsi="仿宋" w:eastAsia="仿宋" w:cs="仿宋"/>
                <w:w w:val="90"/>
              </w:rPr>
            </w:pPr>
            <w:r>
              <w:rPr>
                <w:rFonts w:hint="eastAsia" w:ascii="仿宋" w:hAnsi="仿宋" w:eastAsia="仿宋" w:cs="仿宋"/>
                <w:w w:val="90"/>
              </w:rPr>
              <w:t>1</w:t>
            </w:r>
          </w:p>
        </w:tc>
        <w:tc>
          <w:tcPr>
            <w:tcW w:w="1843" w:type="dxa"/>
            <w:vAlign w:val="center"/>
          </w:tcPr>
          <w:p>
            <w:pPr>
              <w:spacing w:line="276" w:lineRule="auto"/>
              <w:jc w:val="center"/>
              <w:rPr>
                <w:rFonts w:ascii="仿宋" w:hAnsi="仿宋" w:eastAsia="仿宋" w:cs="仿宋"/>
                <w:w w:val="90"/>
              </w:rPr>
            </w:pPr>
            <w:r>
              <w:rPr>
                <w:rFonts w:hint="eastAsia" w:ascii="仿宋" w:hAnsi="仿宋" w:eastAsia="仿宋" w:cs="仿宋"/>
                <w:w w:val="90"/>
              </w:rPr>
              <w:t>▲投标报价范围</w:t>
            </w:r>
          </w:p>
        </w:tc>
        <w:tc>
          <w:tcPr>
            <w:tcW w:w="6520" w:type="dxa"/>
            <w:vAlign w:val="center"/>
          </w:tcPr>
          <w:p>
            <w:pPr>
              <w:spacing w:line="276" w:lineRule="auto"/>
              <w:rPr>
                <w:rFonts w:ascii="仿宋" w:hAnsi="仿宋" w:eastAsia="仿宋" w:cs="仿宋"/>
                <w:b/>
                <w:w w:val="90"/>
              </w:rPr>
            </w:pPr>
            <w:r>
              <w:rPr>
                <w:rFonts w:hint="eastAsia" w:ascii="仿宋" w:hAnsi="仿宋" w:eastAsia="仿宋" w:cs="仿宋"/>
                <w:b/>
                <w:w w:val="90"/>
              </w:rPr>
              <w:t>本项目采用固定总价合同，中标（成交）供应商的投标报价是履行合同的最终价格，报价应包括完成合同所涉及的全部内容，包含但不仅限于培训方案的制定、组织、实施等全部工作所需的一切费用，以及中标后中标单位因本项目合同履行产生的税金、人工、管理、合理利润、采购代理费等一切成本及费用（以上所有费用包含在综合单价中，不另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atLeast"/>
        </w:trPr>
        <w:tc>
          <w:tcPr>
            <w:tcW w:w="817" w:type="dxa"/>
            <w:vAlign w:val="center"/>
          </w:tcPr>
          <w:p>
            <w:pPr>
              <w:spacing w:line="276" w:lineRule="auto"/>
              <w:jc w:val="center"/>
              <w:rPr>
                <w:rFonts w:ascii="仿宋" w:hAnsi="仿宋" w:eastAsia="仿宋" w:cs="仿宋"/>
                <w:w w:val="90"/>
              </w:rPr>
            </w:pPr>
            <w:r>
              <w:rPr>
                <w:rFonts w:hint="eastAsia" w:ascii="仿宋" w:hAnsi="仿宋" w:eastAsia="仿宋" w:cs="仿宋"/>
                <w:w w:val="90"/>
              </w:rPr>
              <w:t>2</w:t>
            </w:r>
          </w:p>
        </w:tc>
        <w:tc>
          <w:tcPr>
            <w:tcW w:w="1843" w:type="dxa"/>
            <w:vAlign w:val="center"/>
          </w:tcPr>
          <w:p>
            <w:pPr>
              <w:spacing w:line="276" w:lineRule="auto"/>
              <w:jc w:val="center"/>
              <w:rPr>
                <w:rFonts w:ascii="仿宋" w:hAnsi="仿宋" w:eastAsia="仿宋" w:cs="仿宋"/>
                <w:b/>
                <w:w w:val="90"/>
                <w:highlight w:val="yellow"/>
              </w:rPr>
            </w:pPr>
            <w:r>
              <w:rPr>
                <w:rFonts w:hint="eastAsia" w:ascii="仿宋" w:hAnsi="仿宋" w:eastAsia="仿宋" w:cs="仿宋"/>
                <w:b/>
                <w:color w:val="auto"/>
                <w:sz w:val="24"/>
                <w:highlight w:val="none"/>
              </w:rPr>
              <w:t>▲</w:t>
            </w:r>
            <w:r>
              <w:rPr>
                <w:rFonts w:hint="eastAsia" w:ascii="仿宋" w:hAnsi="仿宋" w:eastAsia="仿宋" w:cs="仿宋"/>
                <w:w w:val="90"/>
              </w:rPr>
              <w:t>付款方式</w:t>
            </w:r>
          </w:p>
        </w:tc>
        <w:tc>
          <w:tcPr>
            <w:tcW w:w="6520" w:type="dxa"/>
            <w:vAlign w:val="center"/>
          </w:tcPr>
          <w:p>
            <w:pPr>
              <w:spacing w:line="276" w:lineRule="auto"/>
              <w:rPr>
                <w:rFonts w:ascii="仿宋" w:hAnsi="仿宋" w:eastAsia="仿宋" w:cs="仿宋"/>
                <w:w w:val="90"/>
                <w:highlight w:val="yellow"/>
              </w:rPr>
            </w:pPr>
            <w:r>
              <w:rPr>
                <w:rFonts w:hint="eastAsia" w:ascii="仿宋" w:hAnsi="仿宋" w:eastAsia="仿宋" w:cs="仿宋"/>
                <w:b/>
                <w:w w:val="90"/>
              </w:rPr>
              <w:t>根据合同签订的付款方式支付。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atLeast"/>
        </w:trPr>
        <w:tc>
          <w:tcPr>
            <w:tcW w:w="817" w:type="dxa"/>
            <w:vAlign w:val="center"/>
          </w:tcPr>
          <w:p>
            <w:pPr>
              <w:spacing w:line="276" w:lineRule="auto"/>
              <w:jc w:val="center"/>
              <w:rPr>
                <w:rFonts w:ascii="仿宋" w:hAnsi="仿宋" w:eastAsia="仿宋" w:cs="仿宋"/>
                <w:w w:val="90"/>
              </w:rPr>
            </w:pPr>
            <w:r>
              <w:rPr>
                <w:rFonts w:hint="eastAsia" w:ascii="仿宋" w:hAnsi="仿宋" w:eastAsia="仿宋" w:cs="仿宋"/>
                <w:w w:val="90"/>
              </w:rPr>
              <w:t>3</w:t>
            </w:r>
          </w:p>
        </w:tc>
        <w:tc>
          <w:tcPr>
            <w:tcW w:w="1843" w:type="dxa"/>
            <w:vAlign w:val="center"/>
          </w:tcPr>
          <w:p>
            <w:pPr>
              <w:spacing w:line="276" w:lineRule="auto"/>
              <w:jc w:val="center"/>
              <w:rPr>
                <w:rFonts w:ascii="仿宋" w:hAnsi="仿宋" w:eastAsia="仿宋" w:cs="仿宋"/>
                <w:w w:val="90"/>
              </w:rPr>
            </w:pPr>
            <w:r>
              <w:rPr>
                <w:rFonts w:hint="eastAsia" w:ascii="仿宋" w:hAnsi="仿宋" w:eastAsia="仿宋" w:cs="仿宋"/>
                <w:b/>
                <w:color w:val="auto"/>
                <w:sz w:val="24"/>
                <w:highlight w:val="none"/>
              </w:rPr>
              <w:t>▲</w:t>
            </w:r>
            <w:r>
              <w:rPr>
                <w:rFonts w:hint="eastAsia" w:ascii="仿宋" w:hAnsi="仿宋" w:eastAsia="仿宋" w:cs="仿宋"/>
                <w:w w:val="90"/>
              </w:rPr>
              <w:t>服务期</w:t>
            </w:r>
          </w:p>
        </w:tc>
        <w:tc>
          <w:tcPr>
            <w:tcW w:w="6520" w:type="dxa"/>
            <w:vAlign w:val="center"/>
          </w:tcPr>
          <w:p>
            <w:pPr>
              <w:spacing w:line="276" w:lineRule="auto"/>
              <w:rPr>
                <w:rFonts w:ascii="仿宋" w:hAnsi="仿宋" w:eastAsia="仿宋" w:cs="仿宋"/>
                <w:b/>
                <w:w w:val="90"/>
              </w:rPr>
            </w:pPr>
            <w:r>
              <w:rPr>
                <w:rFonts w:hint="eastAsia" w:ascii="仿宋" w:hAnsi="仿宋" w:eastAsia="仿宋" w:cs="仿宋"/>
                <w:b/>
                <w:w w:val="90"/>
                <w:lang w:eastAsia="zh-CN"/>
              </w:rPr>
              <w:t>合同签订之日起至2023年12月31日</w:t>
            </w:r>
            <w:r>
              <w:rPr>
                <w:rFonts w:hint="eastAsia" w:ascii="仿宋" w:hAnsi="仿宋" w:eastAsia="仿宋" w:cs="仿宋"/>
                <w:b/>
                <w:w w:val="90"/>
              </w:rPr>
              <w:t>。</w:t>
            </w:r>
          </w:p>
        </w:tc>
      </w:tr>
    </w:tbl>
    <w:p>
      <w:pPr>
        <w:spacing w:line="360" w:lineRule="auto"/>
        <w:ind w:firstLine="480" w:firstLineChars="200"/>
        <w:rPr>
          <w:rFonts w:ascii="仿宋" w:hAnsi="仿宋" w:eastAsia="仿宋" w:cs="仿宋"/>
          <w:sz w:val="24"/>
        </w:rPr>
      </w:pPr>
    </w:p>
    <w:p>
      <w:pPr>
        <w:pStyle w:val="2"/>
        <w:sectPr>
          <w:headerReference r:id="rId8" w:type="default"/>
          <w:footerReference r:id="rId9" w:type="default"/>
          <w:pgSz w:w="11906" w:h="16839"/>
          <w:pgMar w:top="1096" w:right="1285" w:bottom="1235" w:left="1440" w:header="882" w:footer="1023" w:gutter="0"/>
          <w:cols w:space="720" w:num="1"/>
        </w:sectPr>
      </w:pPr>
    </w:p>
    <w:p>
      <w:pPr>
        <w:rPr>
          <w:rFonts w:ascii="仿宋" w:hAnsi="仿宋" w:eastAsia="仿宋" w:cs="仿宋"/>
          <w:sz w:val="24"/>
        </w:rPr>
      </w:pPr>
    </w:p>
    <w:p>
      <w:pPr>
        <w:pStyle w:val="4"/>
        <w:rPr>
          <w:rFonts w:cs="仿宋"/>
          <w:color w:val="auto"/>
        </w:rPr>
      </w:pPr>
      <w:r>
        <w:rPr>
          <w:rFonts w:hint="eastAsia" w:cs="仿宋"/>
          <w:color w:val="auto"/>
        </w:rPr>
        <w:t>第四部分</w:t>
      </w:r>
      <w:bookmarkStart w:id="65" w:name="_Toc184313269"/>
      <w:bookmarkEnd w:id="65"/>
      <w:bookmarkStart w:id="66" w:name="_Toc184313308"/>
      <w:bookmarkEnd w:id="66"/>
      <w:bookmarkStart w:id="67" w:name="_Toc184313271"/>
      <w:bookmarkEnd w:id="67"/>
      <w:bookmarkStart w:id="68" w:name="_Toc184314459"/>
      <w:bookmarkEnd w:id="68"/>
      <w:bookmarkStart w:id="69" w:name="_Toc184312068"/>
      <w:bookmarkEnd w:id="69"/>
      <w:bookmarkStart w:id="70" w:name="_Toc184313265"/>
      <w:bookmarkEnd w:id="70"/>
      <w:bookmarkStart w:id="71" w:name="_Toc184308036"/>
      <w:bookmarkEnd w:id="71"/>
      <w:bookmarkStart w:id="72" w:name="_Toc184312133"/>
      <w:bookmarkEnd w:id="72"/>
      <w:bookmarkStart w:id="73" w:name="_Toc184308106"/>
      <w:bookmarkEnd w:id="73"/>
      <w:bookmarkStart w:id="74" w:name="_Toc184313256"/>
      <w:bookmarkEnd w:id="74"/>
      <w:bookmarkStart w:id="75" w:name="_Toc184310281"/>
      <w:bookmarkEnd w:id="75"/>
      <w:bookmarkStart w:id="76" w:name="_Toc184310328"/>
      <w:bookmarkEnd w:id="76"/>
      <w:bookmarkStart w:id="77" w:name="_Toc184310285"/>
      <w:bookmarkEnd w:id="77"/>
      <w:bookmarkStart w:id="78" w:name="_Toc184313263"/>
      <w:bookmarkEnd w:id="78"/>
      <w:bookmarkStart w:id="79" w:name="_Toc184308100"/>
      <w:bookmarkEnd w:id="79"/>
      <w:bookmarkStart w:id="80" w:name="_Toc184310294"/>
      <w:bookmarkEnd w:id="80"/>
      <w:bookmarkStart w:id="81" w:name="_Toc184313245"/>
      <w:bookmarkEnd w:id="81"/>
      <w:bookmarkStart w:id="82" w:name="_Toc184312126"/>
      <w:bookmarkEnd w:id="82"/>
      <w:bookmarkStart w:id="83" w:name="_Toc184312130"/>
      <w:bookmarkEnd w:id="83"/>
      <w:bookmarkStart w:id="84" w:name="_Toc184313254"/>
      <w:bookmarkEnd w:id="84"/>
      <w:bookmarkStart w:id="85" w:name="_Toc184312080"/>
      <w:bookmarkEnd w:id="85"/>
      <w:bookmarkStart w:id="86" w:name="_Toc184312076"/>
      <w:bookmarkEnd w:id="86"/>
      <w:bookmarkStart w:id="87" w:name="_Toc184310330"/>
      <w:bookmarkEnd w:id="87"/>
      <w:bookmarkStart w:id="88" w:name="_Toc184314464"/>
      <w:bookmarkEnd w:id="88"/>
      <w:bookmarkStart w:id="89" w:name="_Toc184313309"/>
      <w:bookmarkEnd w:id="89"/>
      <w:bookmarkStart w:id="90" w:name="_Toc184313300"/>
      <w:bookmarkEnd w:id="90"/>
      <w:bookmarkStart w:id="91" w:name="_Toc184313281"/>
      <w:bookmarkEnd w:id="91"/>
      <w:bookmarkStart w:id="92" w:name="_Toc184313291"/>
      <w:bookmarkEnd w:id="92"/>
      <w:bookmarkStart w:id="93" w:name="_Toc184310288"/>
      <w:bookmarkEnd w:id="93"/>
      <w:bookmarkStart w:id="94" w:name="_Toc184314432"/>
      <w:bookmarkEnd w:id="94"/>
      <w:bookmarkStart w:id="95" w:name="_Toc184312113"/>
      <w:bookmarkEnd w:id="95"/>
      <w:bookmarkStart w:id="96" w:name="_Toc184314458"/>
      <w:bookmarkEnd w:id="96"/>
      <w:bookmarkStart w:id="97" w:name="_Toc184313247"/>
      <w:bookmarkEnd w:id="97"/>
      <w:bookmarkStart w:id="98" w:name="_Toc184314482"/>
      <w:bookmarkEnd w:id="98"/>
      <w:bookmarkStart w:id="99" w:name="_Toc184314447"/>
      <w:bookmarkEnd w:id="99"/>
      <w:bookmarkStart w:id="100" w:name="_Toc184314433"/>
      <w:bookmarkEnd w:id="100"/>
      <w:bookmarkStart w:id="101" w:name="_Toc184313306"/>
      <w:bookmarkEnd w:id="101"/>
      <w:bookmarkStart w:id="102" w:name="_Toc184313289"/>
      <w:bookmarkEnd w:id="102"/>
      <w:bookmarkStart w:id="103" w:name="_Toc184310278"/>
      <w:bookmarkEnd w:id="103"/>
      <w:bookmarkStart w:id="104" w:name="_Toc184314453"/>
      <w:bookmarkEnd w:id="104"/>
      <w:bookmarkStart w:id="105" w:name="_Toc184308085"/>
      <w:bookmarkEnd w:id="105"/>
      <w:bookmarkStart w:id="106" w:name="_Toc184312110"/>
      <w:bookmarkEnd w:id="106"/>
      <w:bookmarkStart w:id="107" w:name="_Toc184314476"/>
      <w:bookmarkEnd w:id="107"/>
      <w:bookmarkStart w:id="108" w:name="_Toc184308104"/>
      <w:bookmarkEnd w:id="108"/>
      <w:bookmarkStart w:id="109" w:name="_Toc184308070"/>
      <w:bookmarkEnd w:id="109"/>
      <w:bookmarkStart w:id="110" w:name="_Toc184308082"/>
      <w:bookmarkEnd w:id="110"/>
      <w:bookmarkStart w:id="111" w:name="_Toc184312106"/>
      <w:bookmarkEnd w:id="111"/>
      <w:bookmarkStart w:id="112" w:name="_Toc184312099"/>
      <w:bookmarkEnd w:id="112"/>
      <w:bookmarkStart w:id="113" w:name="_Toc184314465"/>
      <w:bookmarkEnd w:id="113"/>
      <w:bookmarkStart w:id="114" w:name="_Toc184313274"/>
      <w:bookmarkEnd w:id="114"/>
      <w:bookmarkStart w:id="115" w:name="_Toc184308048"/>
      <w:bookmarkEnd w:id="115"/>
      <w:bookmarkStart w:id="116" w:name="_Toc184314420"/>
      <w:bookmarkEnd w:id="116"/>
      <w:bookmarkStart w:id="117" w:name="_Toc184314445"/>
      <w:bookmarkEnd w:id="117"/>
      <w:bookmarkStart w:id="118" w:name="_Toc184313293"/>
      <w:bookmarkEnd w:id="118"/>
      <w:bookmarkStart w:id="119" w:name="_Toc184310272"/>
      <w:bookmarkEnd w:id="119"/>
      <w:bookmarkStart w:id="120" w:name="_Toc184310311"/>
      <w:bookmarkEnd w:id="120"/>
      <w:bookmarkStart w:id="121" w:name="_Toc184310279"/>
      <w:bookmarkEnd w:id="121"/>
      <w:bookmarkStart w:id="122" w:name="_Toc184313260"/>
      <w:bookmarkEnd w:id="122"/>
      <w:bookmarkStart w:id="123" w:name="_Toc184310296"/>
      <w:bookmarkEnd w:id="123"/>
      <w:bookmarkStart w:id="124" w:name="_Toc184308066"/>
      <w:bookmarkEnd w:id="124"/>
      <w:bookmarkStart w:id="125" w:name="_Toc184314434"/>
      <w:bookmarkEnd w:id="125"/>
      <w:bookmarkStart w:id="126" w:name="_Toc184310273"/>
      <w:bookmarkEnd w:id="126"/>
      <w:bookmarkStart w:id="127" w:name="_Toc184312118"/>
      <w:bookmarkEnd w:id="127"/>
      <w:bookmarkStart w:id="128" w:name="_Toc184314456"/>
      <w:bookmarkEnd w:id="128"/>
      <w:bookmarkStart w:id="129" w:name="_Toc184312135"/>
      <w:bookmarkEnd w:id="129"/>
      <w:bookmarkStart w:id="130" w:name="_Toc184310314"/>
      <w:bookmarkEnd w:id="130"/>
      <w:bookmarkStart w:id="131" w:name="_Toc184310324"/>
      <w:bookmarkEnd w:id="131"/>
      <w:bookmarkStart w:id="132" w:name="_Toc184312121"/>
      <w:bookmarkEnd w:id="132"/>
      <w:bookmarkStart w:id="133" w:name="_Toc184312139"/>
      <w:bookmarkEnd w:id="133"/>
      <w:bookmarkStart w:id="134" w:name="_Toc184308087"/>
      <w:bookmarkEnd w:id="134"/>
      <w:bookmarkStart w:id="135" w:name="_Toc184314451"/>
      <w:bookmarkEnd w:id="135"/>
      <w:bookmarkStart w:id="136" w:name="_Toc184310313"/>
      <w:bookmarkEnd w:id="136"/>
      <w:bookmarkStart w:id="137" w:name="_Toc184314477"/>
      <w:bookmarkEnd w:id="137"/>
      <w:bookmarkStart w:id="138" w:name="_Toc184308095"/>
      <w:bookmarkEnd w:id="138"/>
      <w:bookmarkStart w:id="139" w:name="_Toc184312119"/>
      <w:bookmarkEnd w:id="139"/>
      <w:bookmarkStart w:id="140" w:name="_Toc184308074"/>
      <w:bookmarkEnd w:id="140"/>
      <w:bookmarkStart w:id="141" w:name="_Toc184312132"/>
      <w:bookmarkEnd w:id="141"/>
      <w:bookmarkStart w:id="142" w:name="_Toc184312086"/>
      <w:bookmarkEnd w:id="142"/>
      <w:bookmarkStart w:id="143" w:name="_Toc184314411"/>
      <w:bookmarkEnd w:id="143"/>
      <w:bookmarkStart w:id="144" w:name="_Toc184310321"/>
      <w:bookmarkEnd w:id="144"/>
      <w:bookmarkStart w:id="145" w:name="_Toc184308105"/>
      <w:bookmarkEnd w:id="145"/>
      <w:bookmarkStart w:id="146" w:name="_Toc184314466"/>
      <w:bookmarkEnd w:id="146"/>
      <w:bookmarkStart w:id="147" w:name="_Toc184312100"/>
      <w:bookmarkEnd w:id="147"/>
      <w:bookmarkStart w:id="148" w:name="_Toc184308038"/>
      <w:bookmarkEnd w:id="148"/>
      <w:bookmarkStart w:id="149" w:name="_Toc184314435"/>
      <w:bookmarkEnd w:id="149"/>
      <w:bookmarkStart w:id="150" w:name="_Toc184313250"/>
      <w:bookmarkEnd w:id="150"/>
      <w:bookmarkStart w:id="151" w:name="_Toc184312096"/>
      <w:bookmarkEnd w:id="151"/>
      <w:bookmarkStart w:id="152" w:name="_Toc184308052"/>
      <w:bookmarkEnd w:id="152"/>
      <w:bookmarkStart w:id="153" w:name="_Toc184308091"/>
      <w:bookmarkEnd w:id="153"/>
      <w:bookmarkStart w:id="154" w:name="_Toc184312074"/>
      <w:bookmarkEnd w:id="154"/>
      <w:bookmarkStart w:id="155" w:name="_Toc184312075"/>
      <w:bookmarkEnd w:id="155"/>
      <w:bookmarkStart w:id="156" w:name="_Toc184312070"/>
      <w:bookmarkEnd w:id="156"/>
      <w:bookmarkStart w:id="157" w:name="_Toc184314450"/>
      <w:bookmarkEnd w:id="157"/>
      <w:bookmarkStart w:id="158" w:name="_Toc184314431"/>
      <w:bookmarkEnd w:id="158"/>
      <w:bookmarkStart w:id="159" w:name="_Toc184314428"/>
      <w:bookmarkEnd w:id="159"/>
      <w:bookmarkStart w:id="160" w:name="_Toc184310277"/>
      <w:bookmarkEnd w:id="160"/>
      <w:bookmarkStart w:id="161" w:name="_Toc184312090"/>
      <w:bookmarkEnd w:id="161"/>
      <w:bookmarkStart w:id="162" w:name="_Toc184310323"/>
      <w:bookmarkEnd w:id="162"/>
      <w:bookmarkStart w:id="163" w:name="_Toc184312101"/>
      <w:bookmarkEnd w:id="163"/>
      <w:bookmarkStart w:id="164" w:name="_Toc184314469"/>
      <w:bookmarkEnd w:id="164"/>
      <w:bookmarkStart w:id="165" w:name="_Toc184314440"/>
      <w:bookmarkEnd w:id="165"/>
      <w:bookmarkStart w:id="166" w:name="_Toc184308097"/>
      <w:bookmarkEnd w:id="166"/>
      <w:bookmarkStart w:id="167" w:name="_Toc184312081"/>
      <w:bookmarkEnd w:id="167"/>
      <w:bookmarkStart w:id="168" w:name="_Toc184314481"/>
      <w:bookmarkEnd w:id="168"/>
      <w:bookmarkStart w:id="169" w:name="_Toc184308081"/>
      <w:bookmarkEnd w:id="169"/>
      <w:bookmarkStart w:id="170" w:name="_Toc184314461"/>
      <w:bookmarkEnd w:id="170"/>
      <w:bookmarkStart w:id="171" w:name="_Toc184313272"/>
      <w:bookmarkEnd w:id="171"/>
      <w:bookmarkStart w:id="172" w:name="_Toc184313285"/>
      <w:bookmarkEnd w:id="172"/>
      <w:bookmarkStart w:id="173" w:name="_Toc184313253"/>
      <w:bookmarkEnd w:id="173"/>
      <w:bookmarkStart w:id="174" w:name="_Toc184308078"/>
      <w:bookmarkEnd w:id="174"/>
      <w:bookmarkStart w:id="175" w:name="_Toc184310274"/>
      <w:bookmarkEnd w:id="175"/>
      <w:bookmarkStart w:id="176" w:name="_Toc184314480"/>
      <w:bookmarkEnd w:id="176"/>
      <w:bookmarkStart w:id="177" w:name="_Toc184314457"/>
      <w:bookmarkEnd w:id="177"/>
      <w:bookmarkStart w:id="178" w:name="_Toc184308069"/>
      <w:bookmarkEnd w:id="178"/>
      <w:bookmarkStart w:id="179" w:name="_Toc184312128"/>
      <w:bookmarkEnd w:id="179"/>
      <w:bookmarkStart w:id="180" w:name="_Toc184310283"/>
      <w:bookmarkEnd w:id="180"/>
      <w:bookmarkStart w:id="181" w:name="_Toc184313246"/>
      <w:bookmarkEnd w:id="181"/>
      <w:bookmarkStart w:id="182" w:name="_Toc184314468"/>
      <w:bookmarkEnd w:id="182"/>
      <w:bookmarkStart w:id="183" w:name="_Toc184308041"/>
      <w:bookmarkEnd w:id="183"/>
      <w:bookmarkStart w:id="184" w:name="_Toc184312087"/>
      <w:bookmarkEnd w:id="184"/>
      <w:bookmarkStart w:id="185" w:name="_Toc184312078"/>
      <w:bookmarkEnd w:id="185"/>
      <w:bookmarkStart w:id="186" w:name="_Toc184312111"/>
      <w:bookmarkEnd w:id="186"/>
      <w:bookmarkStart w:id="187" w:name="_Toc184308049"/>
      <w:bookmarkEnd w:id="187"/>
      <w:bookmarkStart w:id="188" w:name="_Toc184310340"/>
      <w:bookmarkEnd w:id="188"/>
      <w:bookmarkStart w:id="189" w:name="_Toc184314446"/>
      <w:bookmarkEnd w:id="189"/>
      <w:bookmarkStart w:id="190" w:name="_Toc184308043"/>
      <w:bookmarkEnd w:id="190"/>
      <w:bookmarkStart w:id="191" w:name="_Toc184313273"/>
      <w:bookmarkEnd w:id="191"/>
      <w:bookmarkStart w:id="192" w:name="_Toc184314449"/>
      <w:bookmarkEnd w:id="192"/>
      <w:bookmarkStart w:id="193" w:name="_Toc184308103"/>
      <w:bookmarkEnd w:id="193"/>
      <w:bookmarkStart w:id="194" w:name="_Toc184312109"/>
      <w:bookmarkEnd w:id="194"/>
      <w:bookmarkStart w:id="195" w:name="_Toc184308090"/>
      <w:bookmarkEnd w:id="195"/>
      <w:bookmarkStart w:id="196" w:name="_Toc184314463"/>
      <w:bookmarkEnd w:id="196"/>
      <w:bookmarkStart w:id="197" w:name="_Toc184312072"/>
      <w:bookmarkEnd w:id="197"/>
      <w:bookmarkStart w:id="198" w:name="_Toc184313287"/>
      <w:bookmarkEnd w:id="198"/>
      <w:bookmarkStart w:id="199" w:name="_Toc184313297"/>
      <w:bookmarkEnd w:id="199"/>
      <w:bookmarkStart w:id="200" w:name="_Toc184308061"/>
      <w:bookmarkEnd w:id="200"/>
      <w:bookmarkStart w:id="201" w:name="_Toc184310276"/>
      <w:bookmarkEnd w:id="201"/>
      <w:bookmarkStart w:id="202" w:name="_Toc184314414"/>
      <w:bookmarkEnd w:id="202"/>
      <w:bookmarkStart w:id="203" w:name="_Toc184308047"/>
      <w:bookmarkEnd w:id="203"/>
      <w:bookmarkStart w:id="204" w:name="_Toc184310320"/>
      <w:bookmarkEnd w:id="204"/>
      <w:bookmarkStart w:id="205" w:name="_Toc184314416"/>
      <w:bookmarkEnd w:id="205"/>
      <w:bookmarkStart w:id="206" w:name="_Toc184314462"/>
      <w:bookmarkEnd w:id="206"/>
      <w:bookmarkStart w:id="207" w:name="_Toc184308094"/>
      <w:bookmarkEnd w:id="207"/>
      <w:bookmarkStart w:id="208" w:name="_Toc184313292"/>
      <w:bookmarkEnd w:id="208"/>
      <w:bookmarkStart w:id="209" w:name="_Toc184314427"/>
      <w:bookmarkEnd w:id="209"/>
      <w:bookmarkStart w:id="210" w:name="_Toc184308093"/>
      <w:bookmarkEnd w:id="210"/>
      <w:bookmarkStart w:id="211" w:name="_Toc184308057"/>
      <w:bookmarkEnd w:id="211"/>
      <w:bookmarkStart w:id="212" w:name="_Toc184313277"/>
      <w:bookmarkEnd w:id="212"/>
      <w:bookmarkStart w:id="213" w:name="_Toc184312114"/>
      <w:bookmarkEnd w:id="213"/>
      <w:bookmarkStart w:id="214" w:name="_Toc184310292"/>
      <w:bookmarkEnd w:id="214"/>
      <w:bookmarkStart w:id="215" w:name="_Toc184312069"/>
      <w:bookmarkEnd w:id="215"/>
      <w:bookmarkStart w:id="216" w:name="_Toc184310291"/>
      <w:bookmarkEnd w:id="216"/>
      <w:bookmarkStart w:id="217" w:name="_Toc184310327"/>
      <w:bookmarkEnd w:id="217"/>
      <w:bookmarkStart w:id="218" w:name="_Toc184310275"/>
      <w:bookmarkEnd w:id="218"/>
      <w:bookmarkStart w:id="219" w:name="_Toc184313299"/>
      <w:bookmarkEnd w:id="219"/>
      <w:bookmarkStart w:id="220" w:name="_Toc184312104"/>
      <w:bookmarkEnd w:id="220"/>
      <w:bookmarkStart w:id="221" w:name="_Toc184312079"/>
      <w:bookmarkEnd w:id="221"/>
      <w:bookmarkStart w:id="222" w:name="_Toc184312092"/>
      <w:bookmarkEnd w:id="222"/>
      <w:bookmarkStart w:id="223" w:name="_Toc184314410"/>
      <w:bookmarkEnd w:id="223"/>
      <w:bookmarkStart w:id="224" w:name="_Toc184314473"/>
      <w:bookmarkEnd w:id="224"/>
      <w:bookmarkStart w:id="225" w:name="_Toc184312127"/>
      <w:bookmarkEnd w:id="225"/>
      <w:bookmarkStart w:id="226" w:name="_Toc184310329"/>
      <w:bookmarkEnd w:id="226"/>
      <w:bookmarkStart w:id="227" w:name="_Toc184313259"/>
      <w:bookmarkEnd w:id="227"/>
      <w:bookmarkStart w:id="228" w:name="_Toc184313304"/>
      <w:bookmarkEnd w:id="228"/>
      <w:bookmarkStart w:id="229" w:name="_Toc184313244"/>
      <w:bookmarkEnd w:id="229"/>
      <w:bookmarkStart w:id="230" w:name="_Toc184314436"/>
      <w:bookmarkEnd w:id="230"/>
      <w:bookmarkStart w:id="231" w:name="_Toc184310332"/>
      <w:bookmarkEnd w:id="231"/>
      <w:bookmarkStart w:id="232" w:name="_Toc184310284"/>
      <w:bookmarkEnd w:id="232"/>
      <w:bookmarkStart w:id="233" w:name="_Toc184308044"/>
      <w:bookmarkEnd w:id="233"/>
      <w:bookmarkStart w:id="234" w:name="_Toc184310282"/>
      <w:bookmarkEnd w:id="234"/>
      <w:bookmarkStart w:id="235" w:name="_Toc184313264"/>
      <w:bookmarkEnd w:id="235"/>
      <w:bookmarkStart w:id="236" w:name="_Toc184314474"/>
      <w:bookmarkEnd w:id="236"/>
      <w:bookmarkStart w:id="237" w:name="_Toc184310341"/>
      <w:bookmarkEnd w:id="237"/>
      <w:bookmarkStart w:id="238" w:name="_Toc184314441"/>
      <w:bookmarkEnd w:id="238"/>
      <w:bookmarkStart w:id="239" w:name="_Toc184314470"/>
      <w:bookmarkEnd w:id="239"/>
      <w:bookmarkStart w:id="240" w:name="_Toc184310312"/>
      <w:bookmarkEnd w:id="240"/>
      <w:bookmarkStart w:id="241" w:name="_Toc184308086"/>
      <w:bookmarkEnd w:id="241"/>
      <w:bookmarkStart w:id="242" w:name="_Toc184314437"/>
      <w:bookmarkEnd w:id="242"/>
      <w:bookmarkStart w:id="243" w:name="_Toc184308101"/>
      <w:bookmarkEnd w:id="243"/>
      <w:bookmarkStart w:id="244" w:name="_Toc184314412"/>
      <w:bookmarkEnd w:id="244"/>
      <w:bookmarkStart w:id="245" w:name="_Toc184313290"/>
      <w:bookmarkEnd w:id="245"/>
      <w:bookmarkStart w:id="246" w:name="_Toc184313239"/>
      <w:bookmarkEnd w:id="246"/>
      <w:bookmarkStart w:id="247" w:name="_Toc184313252"/>
      <w:bookmarkEnd w:id="247"/>
      <w:bookmarkStart w:id="248" w:name="_Toc184308089"/>
      <w:bookmarkEnd w:id="248"/>
      <w:bookmarkStart w:id="249" w:name="_Toc184310334"/>
      <w:bookmarkEnd w:id="249"/>
      <w:bookmarkStart w:id="250" w:name="_Toc184312112"/>
      <w:bookmarkEnd w:id="250"/>
      <w:bookmarkStart w:id="251" w:name="_Toc184310297"/>
      <w:bookmarkEnd w:id="251"/>
      <w:bookmarkStart w:id="252" w:name="_Toc184308065"/>
      <w:bookmarkEnd w:id="252"/>
      <w:bookmarkStart w:id="253" w:name="_Toc184310305"/>
      <w:bookmarkEnd w:id="253"/>
      <w:bookmarkStart w:id="254" w:name="_Toc184310315"/>
      <w:bookmarkEnd w:id="254"/>
      <w:bookmarkStart w:id="255" w:name="_Toc184310299"/>
      <w:bookmarkEnd w:id="255"/>
      <w:bookmarkStart w:id="256" w:name="_Toc184312123"/>
      <w:bookmarkEnd w:id="256"/>
      <w:bookmarkStart w:id="257" w:name="_Toc184308098"/>
      <w:bookmarkEnd w:id="257"/>
      <w:bookmarkStart w:id="258" w:name="_Toc184313276"/>
      <w:bookmarkEnd w:id="258"/>
      <w:bookmarkStart w:id="259" w:name="_Toc184313267"/>
      <w:bookmarkEnd w:id="259"/>
      <w:bookmarkStart w:id="260" w:name="_Toc184310331"/>
      <w:bookmarkEnd w:id="260"/>
      <w:bookmarkStart w:id="261" w:name="_Toc184308067"/>
      <w:bookmarkEnd w:id="261"/>
      <w:bookmarkStart w:id="262" w:name="_Toc184308059"/>
      <w:bookmarkEnd w:id="262"/>
      <w:bookmarkStart w:id="263" w:name="_Toc184308075"/>
      <w:bookmarkEnd w:id="263"/>
      <w:bookmarkStart w:id="264" w:name="_Toc184312094"/>
      <w:bookmarkEnd w:id="264"/>
      <w:bookmarkStart w:id="265" w:name="_Toc184314479"/>
      <w:bookmarkEnd w:id="265"/>
      <w:bookmarkStart w:id="266" w:name="_Toc184310289"/>
      <w:bookmarkEnd w:id="266"/>
      <w:bookmarkStart w:id="267" w:name="_Toc184314438"/>
      <w:bookmarkEnd w:id="267"/>
      <w:bookmarkStart w:id="268" w:name="_Toc184314443"/>
      <w:bookmarkEnd w:id="268"/>
      <w:bookmarkStart w:id="269" w:name="_Toc184313278"/>
      <w:bookmarkEnd w:id="269"/>
      <w:bookmarkStart w:id="270" w:name="_Toc184313302"/>
      <w:bookmarkEnd w:id="270"/>
      <w:bookmarkStart w:id="271" w:name="_Toc184312107"/>
      <w:bookmarkEnd w:id="271"/>
      <w:bookmarkStart w:id="272" w:name="_Toc184308102"/>
      <w:bookmarkEnd w:id="272"/>
      <w:bookmarkStart w:id="273" w:name="_Toc184308062"/>
      <w:bookmarkEnd w:id="273"/>
      <w:bookmarkStart w:id="274" w:name="_Toc184308092"/>
      <w:bookmarkEnd w:id="274"/>
      <w:bookmarkStart w:id="275" w:name="_Toc184312137"/>
      <w:bookmarkEnd w:id="275"/>
      <w:bookmarkStart w:id="276" w:name="_Toc184308051"/>
      <w:bookmarkEnd w:id="276"/>
      <w:bookmarkStart w:id="277" w:name="_Toc184313266"/>
      <w:bookmarkEnd w:id="277"/>
      <w:bookmarkStart w:id="278" w:name="_Toc184314415"/>
      <w:bookmarkEnd w:id="278"/>
      <w:bookmarkStart w:id="279" w:name="_Toc184308079"/>
      <w:bookmarkEnd w:id="279"/>
      <w:bookmarkStart w:id="280" w:name="_Toc184313283"/>
      <w:bookmarkEnd w:id="280"/>
      <w:bookmarkStart w:id="281" w:name="_Toc184308064"/>
      <w:bookmarkEnd w:id="281"/>
      <w:bookmarkStart w:id="282" w:name="_Toc184312067"/>
      <w:bookmarkEnd w:id="282"/>
      <w:bookmarkStart w:id="283" w:name="_Toc184308072"/>
      <w:bookmarkEnd w:id="283"/>
      <w:bookmarkStart w:id="284" w:name="_Toc184312122"/>
      <w:bookmarkEnd w:id="284"/>
      <w:bookmarkStart w:id="285" w:name="_Toc184314422"/>
      <w:bookmarkEnd w:id="285"/>
      <w:bookmarkStart w:id="286" w:name="_Toc184310319"/>
      <w:bookmarkEnd w:id="286"/>
      <w:bookmarkStart w:id="287" w:name="_Toc184312083"/>
      <w:bookmarkEnd w:id="287"/>
      <w:bookmarkStart w:id="288" w:name="_Toc184312103"/>
      <w:bookmarkEnd w:id="288"/>
      <w:bookmarkStart w:id="289" w:name="_Toc184308083"/>
      <w:bookmarkEnd w:id="289"/>
      <w:bookmarkStart w:id="290" w:name="_Toc184313298"/>
      <w:bookmarkEnd w:id="290"/>
      <w:bookmarkStart w:id="291" w:name="_Toc184308088"/>
      <w:bookmarkEnd w:id="291"/>
      <w:bookmarkStart w:id="292" w:name="_Toc184312091"/>
      <w:bookmarkEnd w:id="292"/>
      <w:bookmarkStart w:id="293" w:name="_Toc184310302"/>
      <w:bookmarkEnd w:id="293"/>
      <w:bookmarkStart w:id="294" w:name="_Toc184314472"/>
      <w:bookmarkEnd w:id="294"/>
      <w:bookmarkStart w:id="295" w:name="_Toc184313284"/>
      <w:bookmarkEnd w:id="295"/>
      <w:bookmarkStart w:id="296" w:name="_Toc184314424"/>
      <w:bookmarkEnd w:id="296"/>
      <w:bookmarkStart w:id="297" w:name="_Toc184312138"/>
      <w:bookmarkEnd w:id="297"/>
      <w:bookmarkStart w:id="298" w:name="_Toc184313257"/>
      <w:bookmarkEnd w:id="298"/>
      <w:bookmarkStart w:id="299" w:name="_Toc184313310"/>
      <w:bookmarkEnd w:id="299"/>
      <w:bookmarkStart w:id="300" w:name="_Toc184313295"/>
      <w:bookmarkEnd w:id="300"/>
      <w:bookmarkStart w:id="301" w:name="_Toc184308080"/>
      <w:bookmarkEnd w:id="301"/>
      <w:bookmarkStart w:id="302" w:name="_Toc184314417"/>
      <w:bookmarkEnd w:id="302"/>
      <w:bookmarkStart w:id="303" w:name="_Toc184312093"/>
      <w:bookmarkEnd w:id="303"/>
      <w:bookmarkStart w:id="304" w:name="_Toc184308060"/>
      <w:bookmarkEnd w:id="304"/>
      <w:bookmarkStart w:id="305" w:name="_Toc184310308"/>
      <w:bookmarkEnd w:id="305"/>
      <w:bookmarkStart w:id="306" w:name="_Toc184312115"/>
      <w:bookmarkEnd w:id="306"/>
      <w:bookmarkStart w:id="307" w:name="_Toc184310343"/>
      <w:bookmarkEnd w:id="307"/>
      <w:bookmarkStart w:id="308" w:name="_Toc184313275"/>
      <w:bookmarkEnd w:id="308"/>
      <w:bookmarkStart w:id="309" w:name="_Toc184310342"/>
      <w:bookmarkEnd w:id="309"/>
      <w:bookmarkStart w:id="310" w:name="_Toc184308063"/>
      <w:bookmarkEnd w:id="310"/>
      <w:bookmarkStart w:id="311" w:name="_Toc184310322"/>
      <w:bookmarkEnd w:id="311"/>
      <w:bookmarkStart w:id="312" w:name="_Toc184310309"/>
      <w:bookmarkEnd w:id="312"/>
      <w:bookmarkStart w:id="313" w:name="_Toc184313248"/>
      <w:bookmarkEnd w:id="313"/>
      <w:bookmarkStart w:id="314" w:name="_Toc184308046"/>
      <w:bookmarkEnd w:id="314"/>
      <w:bookmarkStart w:id="315" w:name="_Toc184313286"/>
      <w:bookmarkEnd w:id="315"/>
      <w:bookmarkStart w:id="316" w:name="_Toc184308076"/>
      <w:bookmarkEnd w:id="316"/>
      <w:bookmarkStart w:id="317" w:name="_Toc184314425"/>
      <w:bookmarkEnd w:id="317"/>
      <w:bookmarkStart w:id="318" w:name="_Toc184312116"/>
      <w:bookmarkEnd w:id="318"/>
      <w:bookmarkStart w:id="319" w:name="_Toc184310280"/>
      <w:bookmarkEnd w:id="319"/>
      <w:bookmarkStart w:id="320" w:name="_Toc184312095"/>
      <w:bookmarkEnd w:id="320"/>
      <w:bookmarkStart w:id="321" w:name="_Toc184310335"/>
      <w:bookmarkEnd w:id="321"/>
      <w:bookmarkStart w:id="322" w:name="_Toc184308107"/>
      <w:bookmarkEnd w:id="322"/>
      <w:bookmarkStart w:id="323" w:name="_Toc184313262"/>
      <w:bookmarkEnd w:id="323"/>
      <w:bookmarkStart w:id="324" w:name="_Toc184314439"/>
      <w:bookmarkEnd w:id="324"/>
      <w:bookmarkStart w:id="325" w:name="_Toc184308053"/>
      <w:bookmarkEnd w:id="325"/>
      <w:bookmarkStart w:id="326" w:name="_Toc184312077"/>
      <w:bookmarkEnd w:id="326"/>
      <w:bookmarkStart w:id="327" w:name="_Toc184314454"/>
      <w:bookmarkEnd w:id="327"/>
      <w:bookmarkStart w:id="328" w:name="_Toc184312134"/>
      <w:bookmarkEnd w:id="328"/>
      <w:bookmarkStart w:id="329" w:name="_Toc184314442"/>
      <w:bookmarkEnd w:id="329"/>
      <w:bookmarkStart w:id="330" w:name="_Toc184310304"/>
      <w:bookmarkEnd w:id="330"/>
      <w:bookmarkStart w:id="331" w:name="_Toc184310287"/>
      <w:bookmarkEnd w:id="331"/>
      <w:bookmarkStart w:id="332" w:name="_Toc184310298"/>
      <w:bookmarkEnd w:id="332"/>
      <w:bookmarkStart w:id="333" w:name="_Toc184312097"/>
      <w:bookmarkEnd w:id="333"/>
      <w:bookmarkStart w:id="334" w:name="_Toc184310317"/>
      <w:bookmarkEnd w:id="334"/>
      <w:bookmarkStart w:id="335" w:name="_Toc184313249"/>
      <w:bookmarkEnd w:id="335"/>
      <w:bookmarkStart w:id="336" w:name="_Toc184313282"/>
      <w:bookmarkEnd w:id="336"/>
      <w:bookmarkStart w:id="337" w:name="_Toc184308077"/>
      <w:bookmarkEnd w:id="337"/>
      <w:bookmarkStart w:id="338" w:name="_Toc184308050"/>
      <w:bookmarkEnd w:id="338"/>
      <w:bookmarkStart w:id="339" w:name="_Toc184314421"/>
      <w:bookmarkEnd w:id="339"/>
      <w:bookmarkStart w:id="340" w:name="_Toc184308108"/>
      <w:bookmarkEnd w:id="340"/>
      <w:bookmarkStart w:id="341" w:name="_Toc184313242"/>
      <w:bookmarkEnd w:id="341"/>
      <w:bookmarkStart w:id="342" w:name="_Toc184312117"/>
      <w:bookmarkEnd w:id="342"/>
      <w:bookmarkStart w:id="343" w:name="_Toc184312085"/>
      <w:bookmarkEnd w:id="343"/>
      <w:bookmarkStart w:id="344" w:name="_Toc184308040"/>
      <w:bookmarkEnd w:id="344"/>
      <w:bookmarkStart w:id="345" w:name="_Toc184313255"/>
      <w:bookmarkEnd w:id="345"/>
      <w:bookmarkStart w:id="346" w:name="_Toc184310318"/>
      <w:bookmarkEnd w:id="346"/>
      <w:bookmarkStart w:id="347" w:name="_Toc184310336"/>
      <w:bookmarkEnd w:id="347"/>
      <w:bookmarkStart w:id="348" w:name="_Toc184308039"/>
      <w:bookmarkEnd w:id="348"/>
      <w:bookmarkStart w:id="349" w:name="_Toc184310337"/>
      <w:bookmarkEnd w:id="349"/>
      <w:bookmarkStart w:id="350" w:name="_Toc184314467"/>
      <w:bookmarkEnd w:id="350"/>
      <w:bookmarkStart w:id="351" w:name="_Toc184313303"/>
      <w:bookmarkEnd w:id="351"/>
      <w:bookmarkStart w:id="352" w:name="_Toc184310307"/>
      <w:bookmarkEnd w:id="352"/>
      <w:bookmarkStart w:id="353" w:name="_Toc184310301"/>
      <w:bookmarkEnd w:id="353"/>
      <w:bookmarkStart w:id="354" w:name="_Toc184310286"/>
      <w:bookmarkEnd w:id="354"/>
      <w:bookmarkStart w:id="355" w:name="_Toc184310344"/>
      <w:bookmarkEnd w:id="355"/>
      <w:bookmarkStart w:id="356" w:name="_Toc184310295"/>
      <w:bookmarkEnd w:id="356"/>
      <w:bookmarkStart w:id="357" w:name="_Toc184313279"/>
      <w:bookmarkEnd w:id="357"/>
      <w:bookmarkStart w:id="358" w:name="_Toc184310306"/>
      <w:bookmarkEnd w:id="358"/>
      <w:bookmarkStart w:id="359" w:name="_Toc184312073"/>
      <w:bookmarkEnd w:id="359"/>
      <w:bookmarkStart w:id="360" w:name="_Toc184310338"/>
      <w:bookmarkEnd w:id="360"/>
      <w:bookmarkStart w:id="361" w:name="_Toc184314413"/>
      <w:bookmarkEnd w:id="361"/>
      <w:bookmarkStart w:id="362" w:name="_Toc184308084"/>
      <w:bookmarkEnd w:id="362"/>
      <w:bookmarkStart w:id="363" w:name="_Toc184312108"/>
      <w:bookmarkEnd w:id="363"/>
      <w:bookmarkStart w:id="364" w:name="_Toc184308068"/>
      <w:bookmarkEnd w:id="364"/>
      <w:bookmarkStart w:id="365" w:name="_Toc184314429"/>
      <w:bookmarkEnd w:id="365"/>
      <w:bookmarkStart w:id="366" w:name="_Toc184314460"/>
      <w:bookmarkEnd w:id="366"/>
      <w:bookmarkStart w:id="367" w:name="_Toc184312120"/>
      <w:bookmarkEnd w:id="367"/>
      <w:bookmarkStart w:id="368" w:name="_Toc184313268"/>
      <w:bookmarkEnd w:id="368"/>
      <w:bookmarkStart w:id="369" w:name="_Toc184312102"/>
      <w:bookmarkEnd w:id="369"/>
      <w:bookmarkStart w:id="370" w:name="_Toc184314455"/>
      <w:bookmarkEnd w:id="370"/>
      <w:bookmarkStart w:id="371" w:name="_Toc184308058"/>
      <w:bookmarkEnd w:id="371"/>
      <w:bookmarkStart w:id="372" w:name="_Toc184310293"/>
      <w:bookmarkEnd w:id="372"/>
      <w:bookmarkStart w:id="373" w:name="_Toc184313240"/>
      <w:bookmarkEnd w:id="373"/>
      <w:bookmarkStart w:id="374" w:name="_Toc184312084"/>
      <w:bookmarkEnd w:id="374"/>
      <w:bookmarkStart w:id="375" w:name="_Toc184308042"/>
      <w:bookmarkEnd w:id="375"/>
      <w:bookmarkStart w:id="376" w:name="_Toc184310316"/>
      <w:bookmarkEnd w:id="376"/>
      <w:bookmarkStart w:id="377" w:name="_Toc184313261"/>
      <w:bookmarkEnd w:id="377"/>
      <w:bookmarkStart w:id="378" w:name="_Toc184308073"/>
      <w:bookmarkEnd w:id="378"/>
      <w:bookmarkStart w:id="379" w:name="_Toc184310339"/>
      <w:bookmarkEnd w:id="379"/>
      <w:bookmarkStart w:id="380" w:name="_Toc184314423"/>
      <w:bookmarkEnd w:id="380"/>
      <w:bookmarkStart w:id="381" w:name="_Toc184314478"/>
      <w:bookmarkEnd w:id="381"/>
      <w:bookmarkStart w:id="382" w:name="_Toc184314475"/>
      <w:bookmarkEnd w:id="382"/>
      <w:bookmarkStart w:id="383" w:name="_Toc184313305"/>
      <w:bookmarkEnd w:id="383"/>
      <w:bookmarkStart w:id="384" w:name="_Toc184312124"/>
      <w:bookmarkEnd w:id="384"/>
      <w:bookmarkStart w:id="385" w:name="_Toc184312131"/>
      <w:bookmarkEnd w:id="385"/>
      <w:bookmarkStart w:id="386" w:name="_Toc184313251"/>
      <w:bookmarkEnd w:id="386"/>
      <w:bookmarkStart w:id="387" w:name="_Toc184312129"/>
      <w:bookmarkEnd w:id="387"/>
      <w:bookmarkStart w:id="388" w:name="_Toc184312098"/>
      <w:bookmarkEnd w:id="388"/>
      <w:bookmarkStart w:id="389" w:name="_Toc184308099"/>
      <w:bookmarkEnd w:id="389"/>
      <w:bookmarkStart w:id="390" w:name="_Toc184314448"/>
      <w:bookmarkEnd w:id="390"/>
      <w:bookmarkStart w:id="391" w:name="_Toc184313288"/>
      <w:bookmarkEnd w:id="391"/>
      <w:bookmarkStart w:id="392" w:name="_Toc184308055"/>
      <w:bookmarkEnd w:id="392"/>
      <w:bookmarkStart w:id="393" w:name="_Toc184312088"/>
      <w:bookmarkEnd w:id="393"/>
      <w:bookmarkStart w:id="394" w:name="_Toc184310326"/>
      <w:bookmarkEnd w:id="394"/>
      <w:bookmarkStart w:id="395" w:name="_Toc184313258"/>
      <w:bookmarkEnd w:id="395"/>
      <w:bookmarkStart w:id="396" w:name="_Toc184313296"/>
      <w:bookmarkEnd w:id="396"/>
      <w:bookmarkStart w:id="397" w:name="_Toc184308037"/>
      <w:bookmarkEnd w:id="397"/>
      <w:bookmarkStart w:id="398" w:name="_Toc184313238"/>
      <w:bookmarkEnd w:id="398"/>
      <w:bookmarkStart w:id="399" w:name="_Toc184312105"/>
      <w:bookmarkEnd w:id="399"/>
      <w:bookmarkStart w:id="400" w:name="_Toc184314426"/>
      <w:bookmarkEnd w:id="400"/>
      <w:bookmarkStart w:id="401" w:name="_Toc184313307"/>
      <w:bookmarkEnd w:id="401"/>
      <w:bookmarkStart w:id="402" w:name="_Toc184312082"/>
      <w:bookmarkEnd w:id="402"/>
      <w:bookmarkStart w:id="403" w:name="_Toc184310325"/>
      <w:bookmarkEnd w:id="403"/>
      <w:bookmarkStart w:id="404" w:name="_Toc184312125"/>
      <w:bookmarkEnd w:id="404"/>
      <w:bookmarkStart w:id="405" w:name="_Toc184308056"/>
      <w:bookmarkEnd w:id="405"/>
      <w:bookmarkStart w:id="406" w:name="_Toc184313241"/>
      <w:bookmarkEnd w:id="406"/>
      <w:bookmarkStart w:id="407" w:name="_Toc184314418"/>
      <w:bookmarkEnd w:id="407"/>
      <w:bookmarkStart w:id="408" w:name="_Toc184310303"/>
      <w:bookmarkEnd w:id="408"/>
      <w:bookmarkStart w:id="409" w:name="_Toc184308045"/>
      <w:bookmarkEnd w:id="409"/>
      <w:bookmarkStart w:id="410" w:name="_Toc184314430"/>
      <w:bookmarkEnd w:id="410"/>
      <w:bookmarkStart w:id="411" w:name="_Toc184313294"/>
      <w:bookmarkEnd w:id="411"/>
      <w:bookmarkStart w:id="412" w:name="_Toc184308054"/>
      <w:bookmarkEnd w:id="412"/>
      <w:bookmarkStart w:id="413" w:name="_Toc184314471"/>
      <w:bookmarkEnd w:id="413"/>
      <w:bookmarkStart w:id="414" w:name="_Toc184308071"/>
      <w:bookmarkEnd w:id="414"/>
      <w:bookmarkStart w:id="415" w:name="_Toc184314444"/>
      <w:bookmarkEnd w:id="415"/>
      <w:bookmarkStart w:id="416" w:name="_Toc184314452"/>
      <w:bookmarkEnd w:id="416"/>
      <w:bookmarkStart w:id="417" w:name="_Toc184314419"/>
      <w:bookmarkEnd w:id="417"/>
      <w:bookmarkStart w:id="418" w:name="_Toc184308096"/>
      <w:bookmarkEnd w:id="418"/>
      <w:bookmarkStart w:id="419" w:name="_Toc184310333"/>
      <w:bookmarkEnd w:id="419"/>
      <w:bookmarkStart w:id="420" w:name="_Toc184310300"/>
      <w:bookmarkEnd w:id="420"/>
      <w:bookmarkStart w:id="421" w:name="_Toc184310290"/>
      <w:bookmarkEnd w:id="421"/>
      <w:bookmarkStart w:id="422" w:name="_Toc184310310"/>
      <w:bookmarkEnd w:id="422"/>
      <w:bookmarkStart w:id="423" w:name="_Toc184313280"/>
      <w:bookmarkEnd w:id="423"/>
      <w:bookmarkStart w:id="424" w:name="_Toc184312089"/>
      <w:bookmarkEnd w:id="424"/>
      <w:bookmarkStart w:id="425" w:name="_Toc184312071"/>
      <w:bookmarkEnd w:id="425"/>
      <w:bookmarkStart w:id="426" w:name="_Toc184312136"/>
      <w:bookmarkEnd w:id="426"/>
      <w:bookmarkStart w:id="427" w:name="_Toc184313243"/>
      <w:bookmarkEnd w:id="427"/>
      <w:bookmarkStart w:id="428" w:name="_Toc184313270"/>
      <w:bookmarkEnd w:id="428"/>
      <w:bookmarkStart w:id="429" w:name="_Toc184313301"/>
      <w:bookmarkEnd w:id="429"/>
      <w:r>
        <w:rPr>
          <w:rFonts w:hint="eastAsia" w:cs="仿宋"/>
          <w:color w:val="auto"/>
        </w:rPr>
        <w:t>评审办法</w:t>
      </w:r>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评标办法前附表</w:t>
      </w:r>
    </w:p>
    <w:tbl>
      <w:tblPr>
        <w:tblStyle w:val="61"/>
        <w:tblW w:w="4853" w:type="pct"/>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3" w:hRule="atLeast"/>
        </w:trPr>
        <w:tc>
          <w:tcPr>
            <w:tcW w:w="5000" w:type="pct"/>
            <w:vAlign w:val="center"/>
          </w:tcPr>
          <w:p>
            <w:pPr>
              <w:autoSpaceDE w:val="0"/>
              <w:autoSpaceDN w:val="0"/>
              <w:spacing w:line="360" w:lineRule="auto"/>
              <w:ind w:firstLine="482" w:firstLineChars="200"/>
              <w:rPr>
                <w:rFonts w:ascii="仿宋" w:hAnsi="仿宋" w:eastAsia="仿宋" w:cs="仿宋"/>
                <w:sz w:val="24"/>
              </w:rPr>
            </w:pPr>
            <w:r>
              <w:rPr>
                <w:rFonts w:hint="eastAsia" w:ascii="仿宋" w:hAnsi="仿宋" w:eastAsia="仿宋" w:cs="仿宋"/>
                <w:b/>
                <w:sz w:val="24"/>
              </w:rPr>
              <w:t>本项目采用综合评分法</w:t>
            </w:r>
            <w:r>
              <w:rPr>
                <w:rFonts w:hint="eastAsia" w:ascii="仿宋" w:hAnsi="仿宋" w:eastAsia="仿宋" w:cs="仿宋"/>
                <w:sz w:val="24"/>
              </w:rPr>
              <w:t>：</w:t>
            </w:r>
          </w:p>
          <w:p>
            <w:pPr>
              <w:autoSpaceDE w:val="0"/>
              <w:autoSpaceDN w:val="0"/>
              <w:spacing w:line="360" w:lineRule="auto"/>
              <w:ind w:firstLine="480" w:firstLineChars="200"/>
              <w:rPr>
                <w:rFonts w:ascii="仿宋" w:hAnsi="仿宋" w:eastAsia="仿宋" w:cs="仿宋"/>
                <w:sz w:val="24"/>
              </w:rPr>
            </w:pPr>
            <w:r>
              <w:rPr>
                <w:rFonts w:hint="eastAsia" w:ascii="仿宋" w:hAnsi="仿宋" w:eastAsia="仿宋" w:cs="仿宋"/>
                <w:sz w:val="24"/>
              </w:rPr>
              <w:t>评标委员会将对各供应商的投标报价、供应商提供的资信与商务部分、技术部分等方面进行综合评审，评标委员会各成员应当独立对每个有效供应商的投标文件进行评价、打分。经统计，得出各供应商的最终评审分,按最终评审分由高到低顺序排列。得分相同的，按投标报价由低到高顺序排列，</w:t>
            </w:r>
            <w:r>
              <w:rPr>
                <w:rFonts w:hint="eastAsia" w:ascii="仿宋" w:hAnsi="仿宋" w:eastAsia="仿宋" w:cs="仿宋"/>
                <w:sz w:val="24"/>
                <w:szCs w:val="21"/>
              </w:rPr>
              <w:t>得分且投标报价相同的并列</w:t>
            </w:r>
            <w:r>
              <w:rPr>
                <w:rFonts w:hint="eastAsia" w:ascii="仿宋" w:hAnsi="仿宋" w:eastAsia="仿宋" w:cs="仿宋"/>
                <w:sz w:val="24"/>
              </w:rPr>
              <w:t>，并形成评标意见。</w:t>
            </w:r>
          </w:p>
          <w:p>
            <w:pPr>
              <w:spacing w:line="360" w:lineRule="auto"/>
              <w:ind w:left="105" w:leftChars="50" w:firstLine="427" w:firstLineChars="178"/>
              <w:rPr>
                <w:rFonts w:ascii="仿宋" w:hAnsi="仿宋" w:eastAsia="仿宋" w:cs="仿宋"/>
                <w:sz w:val="24"/>
              </w:rPr>
            </w:pPr>
            <w:r>
              <w:rPr>
                <w:rFonts w:hint="eastAsia" w:ascii="仿宋" w:hAnsi="仿宋" w:eastAsia="仿宋" w:cs="仿宋"/>
                <w:sz w:val="24"/>
              </w:rPr>
              <w:t>各供应商的综合得分为：商务资信</w:t>
            </w:r>
            <w:r>
              <w:rPr>
                <w:rFonts w:hint="eastAsia" w:ascii="仿宋" w:hAnsi="仿宋" w:eastAsia="仿宋" w:cs="仿宋"/>
                <w:bCs/>
                <w:sz w:val="24"/>
              </w:rPr>
              <w:t>部分</w:t>
            </w:r>
            <w:r>
              <w:rPr>
                <w:rFonts w:hint="eastAsia" w:ascii="仿宋" w:hAnsi="仿宋" w:eastAsia="仿宋" w:cs="仿宋"/>
                <w:sz w:val="24"/>
              </w:rPr>
              <w:t>得分+技术得分+投标价格得分，总和为</w:t>
            </w:r>
            <w:r>
              <w:rPr>
                <w:rFonts w:hint="eastAsia" w:ascii="仿宋" w:hAnsi="仿宋" w:eastAsia="仿宋" w:cs="仿宋"/>
                <w:sz w:val="24"/>
                <w:u w:val="single"/>
              </w:rPr>
              <w:t>100</w:t>
            </w:r>
            <w:r>
              <w:rPr>
                <w:rFonts w:hint="eastAsia" w:ascii="仿宋" w:hAnsi="仿宋" w:eastAsia="仿宋" w:cs="仿宋"/>
                <w:sz w:val="24"/>
              </w:rPr>
              <w:t>分。</w:t>
            </w:r>
          </w:p>
          <w:p>
            <w:pPr>
              <w:autoSpaceDE w:val="0"/>
              <w:autoSpaceDN w:val="0"/>
              <w:spacing w:line="360" w:lineRule="auto"/>
              <w:ind w:firstLine="482" w:firstLineChars="200"/>
              <w:rPr>
                <w:rFonts w:ascii="仿宋" w:hAnsi="仿宋" w:eastAsia="仿宋" w:cs="仿宋"/>
                <w:b/>
                <w:sz w:val="24"/>
              </w:rPr>
            </w:pPr>
            <w:r>
              <w:rPr>
                <w:rFonts w:hint="eastAsia" w:ascii="仿宋" w:hAnsi="仿宋" w:eastAsia="仿宋" w:cs="仿宋"/>
                <w:b/>
                <w:sz w:val="24"/>
              </w:rPr>
              <w:t>各供应商的技术和服务方案、供应商资信与商务部分得分为：评标委员会各成员评分的算术平均值。各供应商的投标价格得分按投标价格评分公式由采购机构计算，评标委员会审核。</w:t>
            </w:r>
            <w:r>
              <w:rPr>
                <w:rFonts w:hint="eastAsia" w:ascii="仿宋" w:hAnsi="仿宋" w:eastAsia="仿宋" w:cs="仿宋"/>
                <w:sz w:val="24"/>
              </w:rPr>
              <w:t>根据上述评标原则，分值安排如下：</w:t>
            </w:r>
          </w:p>
        </w:tc>
      </w:tr>
    </w:tbl>
    <w:p>
      <w:pPr>
        <w:widowControl/>
        <w:spacing w:line="360" w:lineRule="auto"/>
        <w:rPr>
          <w:rFonts w:ascii="仿宋" w:hAnsi="仿宋" w:eastAsia="仿宋" w:cs="仿宋"/>
          <w:b/>
          <w:sz w:val="32"/>
        </w:rPr>
      </w:pPr>
    </w:p>
    <w:p>
      <w:pPr>
        <w:widowControl/>
        <w:adjustRightInd/>
        <w:jc w:val="left"/>
        <w:rPr>
          <w:rFonts w:ascii="仿宋" w:hAnsi="仿宋" w:eastAsia="仿宋" w:cs="仿宋"/>
          <w:b/>
          <w:sz w:val="32"/>
        </w:rPr>
      </w:pPr>
      <w:r>
        <w:rPr>
          <w:rFonts w:hint="eastAsia" w:ascii="仿宋" w:hAnsi="仿宋" w:eastAsia="仿宋" w:cs="仿宋"/>
          <w:b/>
          <w:sz w:val="32"/>
        </w:rPr>
        <w:br w:type="page"/>
      </w:r>
    </w:p>
    <w:p>
      <w:pPr>
        <w:widowControl/>
        <w:spacing w:line="360" w:lineRule="auto"/>
        <w:rPr>
          <w:rFonts w:ascii="仿宋" w:hAnsi="仿宋" w:eastAsia="仿宋" w:cs="仿宋"/>
          <w:b/>
          <w:bCs/>
          <w:sz w:val="24"/>
        </w:rPr>
      </w:pPr>
      <w:r>
        <w:rPr>
          <w:rFonts w:hint="eastAsia" w:ascii="仿宋" w:hAnsi="仿宋" w:eastAsia="仿宋" w:cs="仿宋"/>
          <w:b/>
          <w:bCs/>
          <w:sz w:val="24"/>
        </w:rPr>
        <w:t>商务技术部分（90分）</w:t>
      </w:r>
    </w:p>
    <w:p>
      <w:pPr>
        <w:rPr>
          <w:rFonts w:ascii="仿宋" w:hAnsi="仿宋" w:eastAsia="仿宋" w:cs="仿宋"/>
          <w:szCs w:val="21"/>
        </w:rPr>
      </w:pPr>
      <w:r>
        <w:rPr>
          <w:rFonts w:hint="eastAsia" w:ascii="仿宋" w:hAnsi="仿宋" w:eastAsia="仿宋" w:cs="仿宋"/>
          <w:szCs w:val="21"/>
        </w:rPr>
        <w:t>1、商务资信部分</w:t>
      </w:r>
    </w:p>
    <w:tbl>
      <w:tblPr>
        <w:tblStyle w:val="61"/>
        <w:tblW w:w="8617" w:type="dxa"/>
        <w:jc w:val="center"/>
        <w:tblLayout w:type="autofit"/>
        <w:tblCellMar>
          <w:top w:w="0" w:type="dxa"/>
          <w:left w:w="108" w:type="dxa"/>
          <w:bottom w:w="0" w:type="dxa"/>
          <w:right w:w="108" w:type="dxa"/>
        </w:tblCellMar>
      </w:tblPr>
      <w:tblGrid>
        <w:gridCol w:w="1055"/>
        <w:gridCol w:w="740"/>
        <w:gridCol w:w="5404"/>
        <w:gridCol w:w="1418"/>
      </w:tblGrid>
      <w:tr>
        <w:tblPrEx>
          <w:tblCellMar>
            <w:top w:w="0" w:type="dxa"/>
            <w:left w:w="108" w:type="dxa"/>
            <w:bottom w:w="0" w:type="dxa"/>
            <w:right w:w="108" w:type="dxa"/>
          </w:tblCellMar>
        </w:tblPrEx>
        <w:trPr>
          <w:trHeight w:val="648" w:hRule="atLeast"/>
          <w:jc w:val="center"/>
        </w:trPr>
        <w:tc>
          <w:tcPr>
            <w:tcW w:w="1055" w:type="dxa"/>
            <w:tcBorders>
              <w:top w:val="single" w:color="auto" w:sz="8" w:space="0"/>
              <w:left w:val="single" w:color="auto" w:sz="8" w:space="0"/>
              <w:bottom w:val="single" w:color="auto" w:sz="8"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序号</w:t>
            </w:r>
          </w:p>
        </w:tc>
        <w:tc>
          <w:tcPr>
            <w:tcW w:w="6144" w:type="dxa"/>
            <w:gridSpan w:val="2"/>
            <w:tcBorders>
              <w:top w:val="single" w:color="auto" w:sz="8" w:space="0"/>
              <w:left w:val="nil"/>
              <w:bottom w:val="single" w:color="auto" w:sz="8"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评分内容和标准</w:t>
            </w:r>
          </w:p>
        </w:tc>
        <w:tc>
          <w:tcPr>
            <w:tcW w:w="1418" w:type="dxa"/>
            <w:tcBorders>
              <w:top w:val="single" w:color="auto" w:sz="8" w:space="0"/>
              <w:left w:val="nil"/>
              <w:bottom w:val="single" w:color="auto" w:sz="8"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分值区间</w:t>
            </w:r>
          </w:p>
        </w:tc>
      </w:tr>
      <w:tr>
        <w:tblPrEx>
          <w:tblCellMar>
            <w:top w:w="0" w:type="dxa"/>
            <w:left w:w="108" w:type="dxa"/>
            <w:bottom w:w="0" w:type="dxa"/>
            <w:right w:w="108" w:type="dxa"/>
          </w:tblCellMar>
        </w:tblPrEx>
        <w:trPr>
          <w:trHeight w:val="621" w:hRule="atLeast"/>
          <w:jc w:val="center"/>
        </w:trPr>
        <w:tc>
          <w:tcPr>
            <w:tcW w:w="1055" w:type="dxa"/>
            <w:vMerge w:val="restart"/>
            <w:tcBorders>
              <w:top w:val="single" w:color="auto" w:sz="8" w:space="0"/>
              <w:left w:val="single" w:color="auto" w:sz="8" w:space="0"/>
              <w:right w:val="single" w:color="auto" w:sz="8" w:space="0"/>
            </w:tcBorders>
            <w:vAlign w:val="center"/>
          </w:tcPr>
          <w:p>
            <w:pPr>
              <w:pStyle w:val="25"/>
              <w:snapToGrid w:val="0"/>
              <w:spacing w:line="360" w:lineRule="auto"/>
              <w:jc w:val="left"/>
              <w:rPr>
                <w:rFonts w:ascii="仿宋" w:hAnsi="仿宋" w:eastAsia="仿宋" w:cs="仿宋"/>
                <w:kern w:val="0"/>
                <w:szCs w:val="21"/>
              </w:rPr>
            </w:pPr>
            <w:r>
              <w:rPr>
                <w:rFonts w:hint="eastAsia" w:ascii="仿宋" w:hAnsi="仿宋" w:eastAsia="仿宋" w:cs="仿宋"/>
                <w:szCs w:val="21"/>
              </w:rPr>
              <w:t>商务资 信分（35分）</w:t>
            </w:r>
          </w:p>
        </w:tc>
        <w:tc>
          <w:tcPr>
            <w:tcW w:w="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Cs w:val="21"/>
              </w:rPr>
            </w:pPr>
            <w:r>
              <w:rPr>
                <w:rFonts w:hint="eastAsia" w:ascii="仿宋" w:hAnsi="仿宋" w:eastAsia="仿宋" w:cs="仿宋"/>
                <w:szCs w:val="21"/>
              </w:rPr>
              <w:t>1</w:t>
            </w:r>
          </w:p>
        </w:tc>
        <w:tc>
          <w:tcPr>
            <w:tcW w:w="5404" w:type="dxa"/>
            <w:tcBorders>
              <w:top w:val="single" w:color="auto" w:sz="8" w:space="0"/>
              <w:left w:val="single" w:color="auto" w:sz="8" w:space="0"/>
              <w:bottom w:val="single" w:color="auto" w:sz="8" w:space="0"/>
              <w:right w:val="single" w:color="auto" w:sz="8" w:space="0"/>
            </w:tcBorders>
            <w:vAlign w:val="center"/>
          </w:tcPr>
          <w:p>
            <w:pPr>
              <w:pStyle w:val="25"/>
              <w:snapToGrid w:val="0"/>
              <w:spacing w:line="360" w:lineRule="auto"/>
              <w:ind w:firstLine="0" w:firstLineChars="0"/>
              <w:rPr>
                <w:rFonts w:ascii="仿宋" w:hAnsi="仿宋" w:eastAsia="仿宋" w:cs="仿宋"/>
                <w:szCs w:val="21"/>
              </w:rPr>
            </w:pPr>
            <w:r>
              <w:rPr>
                <w:rFonts w:hint="eastAsia" w:ascii="仿宋" w:hAnsi="仿宋" w:eastAsia="仿宋" w:cs="仿宋"/>
                <w:szCs w:val="21"/>
              </w:rPr>
              <w:t>根据投标人综合实力、履约能力等情况综合评定</w:t>
            </w:r>
          </w:p>
        </w:tc>
        <w:tc>
          <w:tcPr>
            <w:tcW w:w="141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Cs w:val="21"/>
              </w:rPr>
            </w:pPr>
            <w:r>
              <w:rPr>
                <w:rFonts w:hint="eastAsia" w:ascii="仿宋" w:hAnsi="仿宋" w:eastAsia="仿宋" w:cs="仿宋"/>
                <w:szCs w:val="21"/>
              </w:rPr>
              <w:t>3-10</w:t>
            </w:r>
          </w:p>
        </w:tc>
      </w:tr>
      <w:tr>
        <w:tblPrEx>
          <w:tblCellMar>
            <w:top w:w="0" w:type="dxa"/>
            <w:left w:w="108" w:type="dxa"/>
            <w:bottom w:w="0" w:type="dxa"/>
            <w:right w:w="108" w:type="dxa"/>
          </w:tblCellMar>
        </w:tblPrEx>
        <w:trPr>
          <w:trHeight w:val="924" w:hRule="atLeast"/>
          <w:jc w:val="center"/>
        </w:trPr>
        <w:tc>
          <w:tcPr>
            <w:tcW w:w="1055" w:type="dxa"/>
            <w:vMerge w:val="continue"/>
            <w:tcBorders>
              <w:left w:val="single" w:color="auto" w:sz="8" w:space="0"/>
              <w:right w:val="single" w:color="auto" w:sz="8" w:space="0"/>
            </w:tcBorders>
            <w:vAlign w:val="center"/>
          </w:tcPr>
          <w:p>
            <w:pPr>
              <w:rPr>
                <w:rFonts w:ascii="仿宋" w:hAnsi="仿宋" w:eastAsia="仿宋" w:cs="仿宋"/>
                <w:szCs w:val="21"/>
              </w:rPr>
            </w:pPr>
          </w:p>
        </w:tc>
        <w:tc>
          <w:tcPr>
            <w:tcW w:w="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Cs w:val="21"/>
              </w:rPr>
            </w:pPr>
            <w:r>
              <w:rPr>
                <w:rFonts w:hint="eastAsia" w:ascii="仿宋" w:hAnsi="仿宋" w:eastAsia="仿宋" w:cs="仿宋"/>
                <w:szCs w:val="21"/>
              </w:rPr>
              <w:t>2</w:t>
            </w:r>
          </w:p>
        </w:tc>
        <w:tc>
          <w:tcPr>
            <w:tcW w:w="5404" w:type="dxa"/>
            <w:tcBorders>
              <w:top w:val="single" w:color="auto" w:sz="8" w:space="0"/>
              <w:left w:val="single" w:color="auto" w:sz="8" w:space="0"/>
              <w:bottom w:val="single" w:color="auto" w:sz="8" w:space="0"/>
              <w:right w:val="single" w:color="auto" w:sz="8" w:space="0"/>
            </w:tcBorders>
            <w:vAlign w:val="center"/>
          </w:tcPr>
          <w:p>
            <w:pPr>
              <w:pStyle w:val="25"/>
              <w:snapToGrid w:val="0"/>
              <w:spacing w:line="360" w:lineRule="auto"/>
              <w:rPr>
                <w:rFonts w:ascii="仿宋" w:hAnsi="仿宋" w:eastAsia="仿宋" w:cs="仿宋"/>
                <w:szCs w:val="21"/>
              </w:rPr>
            </w:pPr>
            <w:r>
              <w:rPr>
                <w:rFonts w:hint="eastAsia" w:ascii="仿宋" w:hAnsi="仿宋" w:eastAsia="仿宋" w:cs="仿宋"/>
                <w:szCs w:val="21"/>
              </w:rPr>
              <w:t>投标人经营状况</w:t>
            </w:r>
          </w:p>
          <w:p>
            <w:pPr>
              <w:pStyle w:val="25"/>
              <w:snapToGrid w:val="0"/>
              <w:spacing w:line="360" w:lineRule="auto"/>
              <w:rPr>
                <w:rFonts w:hint="eastAsia" w:ascii="仿宋" w:hAnsi="仿宋" w:eastAsia="仿宋" w:cs="仿宋"/>
                <w:szCs w:val="21"/>
                <w:lang w:eastAsia="zh-CN"/>
              </w:rPr>
            </w:pPr>
            <w:r>
              <w:rPr>
                <w:rFonts w:hint="eastAsia" w:ascii="仿宋" w:hAnsi="仿宋" w:eastAsia="仿宋" w:cs="仿宋"/>
                <w:szCs w:val="21"/>
              </w:rPr>
              <w:t>（根据投标人经营类似项目经验、获得荣誉等情况综合评定）</w:t>
            </w:r>
          </w:p>
          <w:p>
            <w:pPr>
              <w:pStyle w:val="25"/>
              <w:snapToGrid w:val="0"/>
              <w:spacing w:line="360" w:lineRule="auto"/>
              <w:rPr>
                <w:rFonts w:hint="default" w:ascii="仿宋" w:hAnsi="仿宋" w:eastAsia="仿宋" w:cs="仿宋"/>
                <w:szCs w:val="21"/>
                <w:lang w:val="en-US" w:eastAsia="zh-CN"/>
              </w:rPr>
            </w:pPr>
            <w:r>
              <w:rPr>
                <w:rFonts w:hint="eastAsia" w:ascii="仿宋" w:hAnsi="仿宋" w:eastAsia="仿宋" w:cs="仿宋"/>
                <w:szCs w:val="21"/>
              </w:rPr>
              <w:t>◇二年内获得浙江省、杭州市相关新闻奖</w:t>
            </w:r>
            <w:r>
              <w:rPr>
                <w:rFonts w:hint="eastAsia" w:ascii="仿宋" w:hAnsi="仿宋" w:eastAsia="仿宋" w:cs="仿宋"/>
                <w:szCs w:val="21"/>
                <w:lang w:eastAsia="zh-CN"/>
              </w:rPr>
              <w:t>，每提供一个得</w:t>
            </w:r>
            <w:r>
              <w:rPr>
                <w:rFonts w:hint="eastAsia" w:ascii="仿宋" w:hAnsi="仿宋" w:eastAsia="仿宋" w:cs="仿宋"/>
                <w:szCs w:val="21"/>
                <w:lang w:val="en-US" w:eastAsia="zh-CN"/>
              </w:rPr>
              <w:t>1分，最高得5分。</w:t>
            </w:r>
          </w:p>
          <w:p>
            <w:pPr>
              <w:pStyle w:val="25"/>
              <w:snapToGrid w:val="0"/>
              <w:spacing w:line="360" w:lineRule="auto"/>
              <w:rPr>
                <w:rFonts w:ascii="仿宋" w:hAnsi="仿宋" w:eastAsia="仿宋" w:cs="仿宋"/>
                <w:szCs w:val="21"/>
              </w:rPr>
            </w:pPr>
            <w:r>
              <w:rPr>
                <w:rFonts w:hint="eastAsia" w:ascii="仿宋" w:hAnsi="仿宋" w:eastAsia="仿宋" w:cs="仿宋"/>
                <w:szCs w:val="21"/>
              </w:rPr>
              <w:t>◇重大主题等内容的策划报道经验</w:t>
            </w:r>
            <w:r>
              <w:rPr>
                <w:rFonts w:hint="eastAsia" w:ascii="仿宋" w:hAnsi="仿宋" w:eastAsia="仿宋" w:cs="仿宋"/>
                <w:szCs w:val="21"/>
                <w:lang w:eastAsia="zh-CN"/>
              </w:rPr>
              <w:t>每提供一个得</w:t>
            </w:r>
            <w:r>
              <w:rPr>
                <w:rFonts w:hint="eastAsia" w:ascii="仿宋" w:hAnsi="仿宋" w:eastAsia="仿宋" w:cs="仿宋"/>
                <w:szCs w:val="21"/>
                <w:lang w:val="en-US" w:eastAsia="zh-CN"/>
              </w:rPr>
              <w:t>1分，最高得5分。</w:t>
            </w:r>
          </w:p>
          <w:p>
            <w:pPr>
              <w:pStyle w:val="25"/>
              <w:snapToGrid w:val="0"/>
              <w:spacing w:line="360" w:lineRule="auto"/>
              <w:rPr>
                <w:rFonts w:ascii="仿宋" w:hAnsi="仿宋" w:eastAsia="仿宋" w:cs="仿宋"/>
                <w:szCs w:val="21"/>
              </w:rPr>
            </w:pPr>
            <w:r>
              <w:rPr>
                <w:rFonts w:hint="eastAsia" w:ascii="仿宋" w:hAnsi="仿宋" w:eastAsia="仿宋" w:cs="仿宋"/>
                <w:szCs w:val="21"/>
              </w:rPr>
              <w:t>说明：根据投标文件中提供的相关证明材料进行评分。</w:t>
            </w:r>
          </w:p>
        </w:tc>
        <w:tc>
          <w:tcPr>
            <w:tcW w:w="141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Cs w:val="21"/>
              </w:rPr>
            </w:pPr>
            <w:r>
              <w:rPr>
                <w:rFonts w:hint="eastAsia" w:ascii="仿宋" w:hAnsi="仿宋" w:eastAsia="仿宋" w:cs="仿宋"/>
                <w:szCs w:val="21"/>
                <w:lang w:val="en-US" w:eastAsia="zh-CN"/>
              </w:rPr>
              <w:t>0</w:t>
            </w:r>
            <w:r>
              <w:rPr>
                <w:rFonts w:hint="eastAsia" w:ascii="仿宋" w:hAnsi="仿宋" w:eastAsia="仿宋" w:cs="仿宋"/>
                <w:szCs w:val="21"/>
              </w:rPr>
              <w:t>-10</w:t>
            </w:r>
          </w:p>
        </w:tc>
      </w:tr>
      <w:tr>
        <w:tblPrEx>
          <w:tblCellMar>
            <w:top w:w="0" w:type="dxa"/>
            <w:left w:w="108" w:type="dxa"/>
            <w:bottom w:w="0" w:type="dxa"/>
            <w:right w:w="108" w:type="dxa"/>
          </w:tblCellMar>
        </w:tblPrEx>
        <w:trPr>
          <w:trHeight w:val="924" w:hRule="atLeast"/>
          <w:jc w:val="center"/>
        </w:trPr>
        <w:tc>
          <w:tcPr>
            <w:tcW w:w="1055" w:type="dxa"/>
            <w:vMerge w:val="continue"/>
            <w:tcBorders>
              <w:left w:val="single" w:color="auto" w:sz="8" w:space="0"/>
              <w:right w:val="single" w:color="auto" w:sz="8" w:space="0"/>
            </w:tcBorders>
            <w:vAlign w:val="center"/>
          </w:tcPr>
          <w:p>
            <w:pPr>
              <w:rPr>
                <w:rFonts w:ascii="仿宋" w:hAnsi="仿宋" w:eastAsia="仿宋" w:cs="仿宋"/>
                <w:szCs w:val="21"/>
              </w:rPr>
            </w:pPr>
          </w:p>
        </w:tc>
        <w:tc>
          <w:tcPr>
            <w:tcW w:w="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Cs w:val="21"/>
              </w:rPr>
            </w:pPr>
            <w:r>
              <w:rPr>
                <w:rFonts w:hint="eastAsia" w:ascii="仿宋" w:hAnsi="仿宋" w:eastAsia="仿宋" w:cs="仿宋"/>
                <w:szCs w:val="21"/>
              </w:rPr>
              <w:t>3</w:t>
            </w:r>
          </w:p>
        </w:tc>
        <w:tc>
          <w:tcPr>
            <w:tcW w:w="5404" w:type="dxa"/>
            <w:tcBorders>
              <w:top w:val="single" w:color="auto" w:sz="8" w:space="0"/>
              <w:left w:val="single" w:color="auto" w:sz="8" w:space="0"/>
              <w:bottom w:val="single" w:color="auto" w:sz="8" w:space="0"/>
              <w:right w:val="single" w:color="auto" w:sz="8" w:space="0"/>
            </w:tcBorders>
            <w:vAlign w:val="center"/>
          </w:tcPr>
          <w:p>
            <w:pPr>
              <w:pStyle w:val="25"/>
              <w:snapToGrid w:val="0"/>
              <w:spacing w:line="360" w:lineRule="auto"/>
              <w:rPr>
                <w:rFonts w:ascii="仿宋" w:hAnsi="仿宋" w:eastAsia="仿宋" w:cs="仿宋"/>
                <w:szCs w:val="21"/>
              </w:rPr>
            </w:pPr>
            <w:r>
              <w:rPr>
                <w:rFonts w:hint="eastAsia" w:ascii="仿宋" w:hAnsi="仿宋" w:eastAsia="仿宋" w:cs="仿宋"/>
                <w:szCs w:val="21"/>
              </w:rPr>
              <w:t>具有在分众办报方面的丰富经验，近二年相关运营案例（提供相关案例证明）每</w:t>
            </w:r>
            <w:r>
              <w:rPr>
                <w:rFonts w:hint="eastAsia" w:ascii="仿宋" w:hAnsi="仿宋" w:eastAsia="仿宋" w:cs="仿宋"/>
                <w:szCs w:val="21"/>
                <w:lang w:eastAsia="zh-CN"/>
              </w:rPr>
              <w:t>提供</w:t>
            </w:r>
            <w:r>
              <w:rPr>
                <w:rFonts w:hint="eastAsia" w:ascii="仿宋" w:hAnsi="仿宋" w:eastAsia="仿宋" w:cs="仿宋"/>
                <w:szCs w:val="21"/>
              </w:rPr>
              <w:t>一个案例得1分，</w:t>
            </w:r>
            <w:r>
              <w:rPr>
                <w:rFonts w:hint="eastAsia" w:cs="宋体"/>
                <w:bCs/>
              </w:rPr>
              <w:t>最多5分</w:t>
            </w:r>
          </w:p>
        </w:tc>
        <w:tc>
          <w:tcPr>
            <w:tcW w:w="141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Cs w:val="21"/>
              </w:rPr>
            </w:pPr>
            <w:r>
              <w:rPr>
                <w:rFonts w:hint="eastAsia" w:ascii="仿宋" w:hAnsi="仿宋" w:eastAsia="仿宋" w:cs="仿宋"/>
                <w:szCs w:val="21"/>
              </w:rPr>
              <w:t xml:space="preserve">0-5 </w:t>
            </w:r>
          </w:p>
        </w:tc>
      </w:tr>
      <w:tr>
        <w:tblPrEx>
          <w:tblCellMar>
            <w:top w:w="0" w:type="dxa"/>
            <w:left w:w="108" w:type="dxa"/>
            <w:bottom w:w="0" w:type="dxa"/>
            <w:right w:w="108" w:type="dxa"/>
          </w:tblCellMar>
        </w:tblPrEx>
        <w:trPr>
          <w:trHeight w:val="924" w:hRule="atLeast"/>
          <w:jc w:val="center"/>
        </w:trPr>
        <w:tc>
          <w:tcPr>
            <w:tcW w:w="1055" w:type="dxa"/>
            <w:vMerge w:val="continue"/>
            <w:tcBorders>
              <w:left w:val="single" w:color="auto" w:sz="8" w:space="0"/>
              <w:bottom w:val="single" w:color="auto" w:sz="8" w:space="0"/>
              <w:right w:val="single" w:color="auto" w:sz="8" w:space="0"/>
            </w:tcBorders>
            <w:vAlign w:val="center"/>
          </w:tcPr>
          <w:p>
            <w:pPr>
              <w:rPr>
                <w:rFonts w:ascii="仿宋" w:hAnsi="仿宋" w:eastAsia="仿宋" w:cs="仿宋"/>
                <w:szCs w:val="21"/>
              </w:rPr>
            </w:pPr>
          </w:p>
        </w:tc>
        <w:tc>
          <w:tcPr>
            <w:tcW w:w="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Cs w:val="21"/>
              </w:rPr>
            </w:pPr>
            <w:r>
              <w:rPr>
                <w:rFonts w:hint="eastAsia" w:ascii="仿宋" w:hAnsi="仿宋" w:eastAsia="仿宋" w:cs="仿宋"/>
                <w:szCs w:val="21"/>
              </w:rPr>
              <w:t>4</w:t>
            </w:r>
          </w:p>
        </w:tc>
        <w:tc>
          <w:tcPr>
            <w:tcW w:w="5404" w:type="dxa"/>
            <w:tcBorders>
              <w:top w:val="nil"/>
              <w:left w:val="nil"/>
              <w:bottom w:val="single" w:color="auto" w:sz="8" w:space="0"/>
              <w:right w:val="single" w:color="auto" w:sz="4" w:space="0"/>
            </w:tcBorders>
            <w:vAlign w:val="center"/>
          </w:tcPr>
          <w:p>
            <w:pPr>
              <w:pStyle w:val="25"/>
              <w:snapToGrid w:val="0"/>
              <w:spacing w:line="360" w:lineRule="auto"/>
              <w:rPr>
                <w:rFonts w:ascii="仿宋" w:hAnsi="仿宋" w:eastAsia="仿宋" w:cs="仿宋"/>
                <w:szCs w:val="21"/>
              </w:rPr>
            </w:pPr>
            <w:r>
              <w:rPr>
                <w:rFonts w:hint="eastAsia" w:ascii="仿宋" w:hAnsi="仿宋" w:eastAsia="仿宋" w:cs="仿宋"/>
                <w:szCs w:val="21"/>
              </w:rPr>
              <w:t>投标单位整体业务水平、学历水平等，正高级职称2分/人，副高职称1分/人，中级职称1分/人，累计不超过10分。</w:t>
            </w:r>
          </w:p>
        </w:tc>
        <w:tc>
          <w:tcPr>
            <w:tcW w:w="1418" w:type="dxa"/>
            <w:tcBorders>
              <w:top w:val="nil"/>
              <w:left w:val="nil"/>
              <w:bottom w:val="single" w:color="auto" w:sz="8" w:space="0"/>
              <w:right w:val="single" w:color="auto" w:sz="8" w:space="0"/>
            </w:tcBorders>
            <w:vAlign w:val="center"/>
          </w:tcPr>
          <w:p>
            <w:pPr>
              <w:jc w:val="center"/>
              <w:rPr>
                <w:rFonts w:ascii="仿宋" w:hAnsi="仿宋" w:eastAsia="仿宋" w:cs="仿宋"/>
                <w:szCs w:val="21"/>
              </w:rPr>
            </w:pPr>
            <w:r>
              <w:rPr>
                <w:rFonts w:hint="eastAsia" w:ascii="仿宋" w:hAnsi="仿宋" w:eastAsia="仿宋" w:cs="仿宋"/>
                <w:szCs w:val="21"/>
              </w:rPr>
              <w:t>0-10分</w:t>
            </w:r>
          </w:p>
        </w:tc>
      </w:tr>
    </w:tbl>
    <w:p>
      <w:pPr>
        <w:pStyle w:val="423"/>
        <w:spacing w:line="360" w:lineRule="auto"/>
        <w:ind w:firstLine="480"/>
        <w:rPr>
          <w:rFonts w:ascii="仿宋" w:hAnsi="仿宋" w:eastAsia="仿宋" w:cs="仿宋"/>
        </w:rPr>
      </w:pPr>
    </w:p>
    <w:p>
      <w:pPr>
        <w:rPr>
          <w:rFonts w:ascii="仿宋" w:hAnsi="仿宋" w:eastAsia="仿宋" w:cs="仿宋"/>
          <w:szCs w:val="21"/>
        </w:rPr>
      </w:pPr>
      <w:r>
        <w:rPr>
          <w:rFonts w:hint="eastAsia" w:ascii="仿宋" w:hAnsi="仿宋" w:eastAsia="仿宋" w:cs="仿宋"/>
          <w:szCs w:val="21"/>
        </w:rPr>
        <w:t>2、技术部分</w:t>
      </w:r>
    </w:p>
    <w:tbl>
      <w:tblPr>
        <w:tblStyle w:val="61"/>
        <w:tblpPr w:leftFromText="180" w:rightFromText="180" w:vertAnchor="text" w:horzAnchor="page" w:tblpX="1736" w:tblpY="339"/>
        <w:tblOverlap w:val="never"/>
        <w:tblW w:w="8647" w:type="dxa"/>
        <w:tblInd w:w="0" w:type="dxa"/>
        <w:tblLayout w:type="autofit"/>
        <w:tblCellMar>
          <w:top w:w="0" w:type="dxa"/>
          <w:left w:w="108" w:type="dxa"/>
          <w:bottom w:w="0" w:type="dxa"/>
          <w:right w:w="108" w:type="dxa"/>
        </w:tblCellMar>
      </w:tblPr>
      <w:tblGrid>
        <w:gridCol w:w="1100"/>
        <w:gridCol w:w="848"/>
        <w:gridCol w:w="5683"/>
        <w:gridCol w:w="1016"/>
      </w:tblGrid>
      <w:tr>
        <w:tblPrEx>
          <w:tblCellMar>
            <w:top w:w="0" w:type="dxa"/>
            <w:left w:w="108" w:type="dxa"/>
            <w:bottom w:w="0" w:type="dxa"/>
            <w:right w:w="108" w:type="dxa"/>
          </w:tblCellMar>
        </w:tblPrEx>
        <w:trPr>
          <w:trHeight w:val="615" w:hRule="atLeast"/>
        </w:trPr>
        <w:tc>
          <w:tcPr>
            <w:tcW w:w="1100" w:type="dxa"/>
            <w:tcBorders>
              <w:top w:val="single" w:color="auto" w:sz="8" w:space="0"/>
              <w:left w:val="single" w:color="auto" w:sz="8"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序号</w:t>
            </w:r>
          </w:p>
        </w:tc>
        <w:tc>
          <w:tcPr>
            <w:tcW w:w="6531" w:type="dxa"/>
            <w:gridSpan w:val="2"/>
            <w:tcBorders>
              <w:top w:val="single" w:color="auto" w:sz="8" w:space="0"/>
              <w:left w:val="nil"/>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评分内容和标准</w:t>
            </w:r>
          </w:p>
        </w:tc>
        <w:tc>
          <w:tcPr>
            <w:tcW w:w="1016" w:type="dxa"/>
            <w:tcBorders>
              <w:top w:val="single" w:color="auto" w:sz="8" w:space="0"/>
              <w:left w:val="nil"/>
              <w:bottom w:val="single" w:color="auto" w:sz="4" w:space="0"/>
              <w:right w:val="single" w:color="auto" w:sz="8" w:space="0"/>
            </w:tcBorders>
            <w:vAlign w:val="center"/>
          </w:tcPr>
          <w:p>
            <w:pPr>
              <w:jc w:val="center"/>
              <w:rPr>
                <w:rFonts w:ascii="仿宋" w:hAnsi="仿宋" w:eastAsia="仿宋" w:cs="仿宋"/>
                <w:szCs w:val="21"/>
              </w:rPr>
            </w:pPr>
            <w:r>
              <w:rPr>
                <w:rFonts w:hint="eastAsia" w:ascii="仿宋" w:hAnsi="仿宋" w:eastAsia="仿宋" w:cs="仿宋"/>
                <w:szCs w:val="21"/>
              </w:rPr>
              <w:t>分值区间</w:t>
            </w:r>
          </w:p>
        </w:tc>
      </w:tr>
      <w:tr>
        <w:tblPrEx>
          <w:tblCellMar>
            <w:top w:w="0" w:type="dxa"/>
            <w:left w:w="108" w:type="dxa"/>
            <w:bottom w:w="0" w:type="dxa"/>
            <w:right w:w="108" w:type="dxa"/>
          </w:tblCellMar>
        </w:tblPrEx>
        <w:trPr>
          <w:trHeight w:val="752" w:hRule="atLeast"/>
        </w:trPr>
        <w:tc>
          <w:tcPr>
            <w:tcW w:w="1100" w:type="dxa"/>
            <w:vMerge w:val="restart"/>
            <w:tcBorders>
              <w:top w:val="nil"/>
              <w:left w:val="single" w:color="auto" w:sz="4" w:space="0"/>
              <w:right w:val="single" w:color="auto" w:sz="4" w:space="0"/>
            </w:tcBorders>
            <w:vAlign w:val="center"/>
          </w:tcPr>
          <w:p>
            <w:pPr>
              <w:pStyle w:val="25"/>
              <w:snapToGrid w:val="0"/>
              <w:spacing w:line="360" w:lineRule="auto"/>
              <w:jc w:val="left"/>
              <w:rPr>
                <w:rFonts w:ascii="仿宋" w:hAnsi="仿宋" w:eastAsia="仿宋" w:cs="仿宋"/>
                <w:kern w:val="0"/>
                <w:szCs w:val="21"/>
              </w:rPr>
            </w:pPr>
            <w:r>
              <w:rPr>
                <w:rFonts w:hint="eastAsia" w:ascii="仿宋" w:hAnsi="仿宋" w:eastAsia="仿宋" w:cs="仿宋"/>
                <w:szCs w:val="21"/>
              </w:rPr>
              <w:t>技术分（50分）</w:t>
            </w:r>
          </w:p>
        </w:tc>
        <w:tc>
          <w:tcPr>
            <w:tcW w:w="848" w:type="dxa"/>
            <w:tcBorders>
              <w:top w:val="nil"/>
              <w:left w:val="single" w:color="auto" w:sz="8"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5</w:t>
            </w:r>
          </w:p>
        </w:tc>
        <w:tc>
          <w:tcPr>
            <w:tcW w:w="5683" w:type="dxa"/>
            <w:tcBorders>
              <w:top w:val="nil"/>
              <w:left w:val="nil"/>
              <w:bottom w:val="single" w:color="auto" w:sz="4" w:space="0"/>
              <w:right w:val="single" w:color="auto" w:sz="4" w:space="0"/>
            </w:tcBorders>
            <w:vAlign w:val="center"/>
          </w:tcPr>
          <w:p>
            <w:pPr>
              <w:pStyle w:val="25"/>
              <w:snapToGrid w:val="0"/>
              <w:spacing w:line="360" w:lineRule="auto"/>
              <w:rPr>
                <w:rFonts w:ascii="仿宋" w:hAnsi="仿宋" w:eastAsia="仿宋" w:cs="仿宋"/>
                <w:szCs w:val="21"/>
              </w:rPr>
            </w:pPr>
            <w:r>
              <w:rPr>
                <w:rFonts w:hint="eastAsia" w:ascii="仿宋" w:hAnsi="仿宋" w:eastAsia="仿宋" w:cs="仿宋"/>
                <w:szCs w:val="21"/>
              </w:rPr>
              <w:t>投标方案的合理性、科学性、全面性（根据对投标项目的理解程度、总体设计、组织实施、独到优势等情况综合评定）方案内容完整且与项目匹配度好的得8-10分；方案内容基本完整且与项目匹配度较好的得4-7分；方案内容存在欠缺或与项目匹配度一般的得2-3分；方案内容缺失严重或与项目不匹配的不得分。</w:t>
            </w:r>
          </w:p>
        </w:tc>
        <w:tc>
          <w:tcPr>
            <w:tcW w:w="1016" w:type="dxa"/>
            <w:tcBorders>
              <w:top w:val="nil"/>
              <w:left w:val="nil"/>
              <w:bottom w:val="single" w:color="auto" w:sz="4" w:space="0"/>
              <w:right w:val="single" w:color="auto" w:sz="8" w:space="0"/>
            </w:tcBorders>
            <w:vAlign w:val="center"/>
          </w:tcPr>
          <w:p>
            <w:pPr>
              <w:rPr>
                <w:rFonts w:ascii="仿宋" w:hAnsi="仿宋" w:eastAsia="仿宋" w:cs="仿宋"/>
                <w:szCs w:val="21"/>
              </w:rPr>
            </w:pPr>
            <w:r>
              <w:rPr>
                <w:rFonts w:hint="eastAsia" w:ascii="仿宋" w:hAnsi="仿宋" w:eastAsia="仿宋" w:cs="仿宋"/>
                <w:szCs w:val="21"/>
              </w:rPr>
              <w:t>2-10分</w:t>
            </w:r>
          </w:p>
        </w:tc>
      </w:tr>
      <w:tr>
        <w:tblPrEx>
          <w:tblCellMar>
            <w:top w:w="0" w:type="dxa"/>
            <w:left w:w="108" w:type="dxa"/>
            <w:bottom w:w="0" w:type="dxa"/>
            <w:right w:w="108" w:type="dxa"/>
          </w:tblCellMar>
        </w:tblPrEx>
        <w:trPr>
          <w:trHeight w:val="615" w:hRule="atLeast"/>
        </w:trPr>
        <w:tc>
          <w:tcPr>
            <w:tcW w:w="1100" w:type="dxa"/>
            <w:vMerge w:val="continue"/>
            <w:tcBorders>
              <w:left w:val="single" w:color="auto" w:sz="4" w:space="0"/>
              <w:right w:val="single" w:color="auto" w:sz="4" w:space="0"/>
            </w:tcBorders>
            <w:vAlign w:val="center"/>
          </w:tcPr>
          <w:p>
            <w:pPr>
              <w:rPr>
                <w:rFonts w:ascii="仿宋" w:hAnsi="仿宋" w:eastAsia="仿宋" w:cs="仿宋"/>
                <w:szCs w:val="21"/>
              </w:rPr>
            </w:pPr>
          </w:p>
        </w:tc>
        <w:tc>
          <w:tcPr>
            <w:tcW w:w="848" w:type="dxa"/>
            <w:tcBorders>
              <w:top w:val="nil"/>
              <w:left w:val="single" w:color="auto" w:sz="8"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6</w:t>
            </w:r>
          </w:p>
        </w:tc>
        <w:tc>
          <w:tcPr>
            <w:tcW w:w="5683" w:type="dxa"/>
            <w:tcBorders>
              <w:top w:val="nil"/>
              <w:left w:val="nil"/>
              <w:bottom w:val="single" w:color="auto" w:sz="4" w:space="0"/>
              <w:right w:val="single" w:color="auto" w:sz="4" w:space="0"/>
            </w:tcBorders>
            <w:vAlign w:val="center"/>
          </w:tcPr>
          <w:p>
            <w:pPr>
              <w:pStyle w:val="25"/>
              <w:snapToGrid w:val="0"/>
              <w:spacing w:line="360" w:lineRule="auto"/>
              <w:rPr>
                <w:rFonts w:ascii="仿宋" w:hAnsi="仿宋" w:eastAsia="仿宋" w:cs="仿宋"/>
                <w:szCs w:val="21"/>
              </w:rPr>
            </w:pPr>
            <w:r>
              <w:rPr>
                <w:rFonts w:hint="eastAsia" w:ascii="仿宋" w:hAnsi="仿宋" w:eastAsia="仿宋" w:cs="仿宋"/>
                <w:szCs w:val="21"/>
              </w:rPr>
              <w:t>保证进度和项目完成的方案和措施等综合评定</w:t>
            </w:r>
            <w:r>
              <w:rPr>
                <w:rFonts w:hint="eastAsia"/>
              </w:rPr>
              <w:t>方案内容完整且与项目匹配度好的得6-8分；方案内容基本完整且与项目匹配度较好的得4-6分；方案内容存在欠缺或与项目匹配度一般的得2-4分；方案内容缺失严重或与项目不匹配的不得分。</w:t>
            </w:r>
          </w:p>
        </w:tc>
        <w:tc>
          <w:tcPr>
            <w:tcW w:w="1016" w:type="dxa"/>
            <w:tcBorders>
              <w:top w:val="nil"/>
              <w:left w:val="nil"/>
              <w:bottom w:val="single" w:color="auto" w:sz="4" w:space="0"/>
              <w:right w:val="single" w:color="auto" w:sz="8" w:space="0"/>
            </w:tcBorders>
            <w:vAlign w:val="center"/>
          </w:tcPr>
          <w:p>
            <w:pPr>
              <w:rPr>
                <w:rFonts w:ascii="仿宋" w:hAnsi="仿宋" w:eastAsia="仿宋" w:cs="仿宋"/>
                <w:szCs w:val="21"/>
              </w:rPr>
            </w:pPr>
            <w:r>
              <w:rPr>
                <w:rFonts w:hint="eastAsia" w:ascii="仿宋" w:hAnsi="仿宋" w:eastAsia="仿宋" w:cs="仿宋"/>
                <w:szCs w:val="21"/>
              </w:rPr>
              <w:t>2-8分</w:t>
            </w:r>
          </w:p>
        </w:tc>
      </w:tr>
      <w:tr>
        <w:tblPrEx>
          <w:tblCellMar>
            <w:top w:w="0" w:type="dxa"/>
            <w:left w:w="108" w:type="dxa"/>
            <w:bottom w:w="0" w:type="dxa"/>
            <w:right w:w="108" w:type="dxa"/>
          </w:tblCellMar>
        </w:tblPrEx>
        <w:trPr>
          <w:trHeight w:val="615" w:hRule="atLeast"/>
        </w:trPr>
        <w:tc>
          <w:tcPr>
            <w:tcW w:w="1100" w:type="dxa"/>
            <w:vMerge w:val="continue"/>
            <w:tcBorders>
              <w:left w:val="single" w:color="auto" w:sz="4" w:space="0"/>
              <w:right w:val="single" w:color="auto" w:sz="4" w:space="0"/>
            </w:tcBorders>
            <w:vAlign w:val="center"/>
          </w:tcPr>
          <w:p>
            <w:pPr>
              <w:rPr>
                <w:rFonts w:ascii="仿宋" w:hAnsi="仿宋" w:eastAsia="仿宋" w:cs="仿宋"/>
                <w:szCs w:val="21"/>
              </w:rPr>
            </w:pPr>
          </w:p>
        </w:tc>
        <w:tc>
          <w:tcPr>
            <w:tcW w:w="848" w:type="dxa"/>
            <w:tcBorders>
              <w:top w:val="nil"/>
              <w:left w:val="single" w:color="auto" w:sz="8"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7</w:t>
            </w:r>
          </w:p>
        </w:tc>
        <w:tc>
          <w:tcPr>
            <w:tcW w:w="5683" w:type="dxa"/>
            <w:tcBorders>
              <w:top w:val="nil"/>
              <w:left w:val="nil"/>
              <w:bottom w:val="single" w:color="auto" w:sz="4" w:space="0"/>
              <w:right w:val="single" w:color="auto" w:sz="4" w:space="0"/>
            </w:tcBorders>
            <w:vAlign w:val="center"/>
          </w:tcPr>
          <w:p>
            <w:pPr>
              <w:pStyle w:val="25"/>
              <w:snapToGrid w:val="0"/>
              <w:spacing w:line="360" w:lineRule="auto"/>
              <w:rPr>
                <w:rFonts w:ascii="仿宋" w:hAnsi="仿宋" w:eastAsia="仿宋" w:cs="仿宋"/>
                <w:szCs w:val="21"/>
              </w:rPr>
            </w:pPr>
            <w:r>
              <w:rPr>
                <w:rFonts w:hint="eastAsia" w:ascii="仿宋" w:hAnsi="仿宋" w:eastAsia="仿宋" w:cs="仿宋"/>
                <w:szCs w:val="21"/>
              </w:rPr>
              <w:t>项目负责人、运营团队及技术力量安排等（综合评定）</w:t>
            </w:r>
            <w:r>
              <w:rPr>
                <w:rFonts w:hint="eastAsia"/>
              </w:rPr>
              <w:t>方案内容完整且与项目匹配度好的得6分；方案内容基本完整且与项目匹配度较好的得4-5分；方案内容存在欠缺或与项目匹配度一般的得1-3分；方案内容缺失严重或与项目不匹配的不得分。</w:t>
            </w:r>
          </w:p>
        </w:tc>
        <w:tc>
          <w:tcPr>
            <w:tcW w:w="1016" w:type="dxa"/>
            <w:tcBorders>
              <w:top w:val="nil"/>
              <w:left w:val="nil"/>
              <w:bottom w:val="single" w:color="auto" w:sz="4" w:space="0"/>
              <w:right w:val="single" w:color="auto" w:sz="8" w:space="0"/>
            </w:tcBorders>
            <w:vAlign w:val="center"/>
          </w:tcPr>
          <w:p>
            <w:pPr>
              <w:rPr>
                <w:rFonts w:ascii="仿宋" w:hAnsi="仿宋" w:eastAsia="仿宋" w:cs="仿宋"/>
                <w:szCs w:val="21"/>
              </w:rPr>
            </w:pPr>
            <w:r>
              <w:rPr>
                <w:rFonts w:hint="eastAsia" w:ascii="仿宋" w:hAnsi="仿宋" w:eastAsia="仿宋" w:cs="仿宋"/>
                <w:szCs w:val="21"/>
              </w:rPr>
              <w:t>1-6分</w:t>
            </w:r>
          </w:p>
        </w:tc>
      </w:tr>
      <w:tr>
        <w:tblPrEx>
          <w:tblCellMar>
            <w:top w:w="0" w:type="dxa"/>
            <w:left w:w="108" w:type="dxa"/>
            <w:bottom w:w="0" w:type="dxa"/>
            <w:right w:w="108" w:type="dxa"/>
          </w:tblCellMar>
        </w:tblPrEx>
        <w:trPr>
          <w:trHeight w:val="615" w:hRule="atLeast"/>
        </w:trPr>
        <w:tc>
          <w:tcPr>
            <w:tcW w:w="1100" w:type="dxa"/>
            <w:vMerge w:val="continue"/>
            <w:tcBorders>
              <w:left w:val="single" w:color="auto" w:sz="4" w:space="0"/>
              <w:right w:val="single" w:color="auto" w:sz="4" w:space="0"/>
            </w:tcBorders>
            <w:vAlign w:val="center"/>
          </w:tcPr>
          <w:p>
            <w:pPr>
              <w:rPr>
                <w:rFonts w:ascii="仿宋" w:hAnsi="仿宋" w:eastAsia="仿宋" w:cs="仿宋"/>
                <w:szCs w:val="21"/>
              </w:rPr>
            </w:pPr>
          </w:p>
        </w:tc>
        <w:tc>
          <w:tcPr>
            <w:tcW w:w="848" w:type="dxa"/>
            <w:tcBorders>
              <w:top w:val="nil"/>
              <w:left w:val="single" w:color="auto" w:sz="8"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8</w:t>
            </w:r>
          </w:p>
        </w:tc>
        <w:tc>
          <w:tcPr>
            <w:tcW w:w="5683" w:type="dxa"/>
            <w:tcBorders>
              <w:top w:val="nil"/>
              <w:left w:val="nil"/>
              <w:bottom w:val="single" w:color="auto" w:sz="4" w:space="0"/>
              <w:right w:val="single" w:color="auto" w:sz="4" w:space="0"/>
            </w:tcBorders>
            <w:vAlign w:val="center"/>
          </w:tcPr>
          <w:p>
            <w:pPr>
              <w:pStyle w:val="25"/>
              <w:snapToGrid w:val="0"/>
              <w:spacing w:line="360" w:lineRule="auto"/>
              <w:rPr>
                <w:rFonts w:ascii="仿宋" w:hAnsi="仿宋" w:eastAsia="仿宋" w:cs="仿宋"/>
                <w:szCs w:val="21"/>
              </w:rPr>
            </w:pPr>
            <w:r>
              <w:rPr>
                <w:rFonts w:hint="eastAsia" w:ascii="仿宋" w:hAnsi="仿宋" w:eastAsia="仿宋" w:cs="仿宋"/>
                <w:szCs w:val="21"/>
              </w:rPr>
              <w:t>对本项目的合理化建议（综合评定）</w:t>
            </w:r>
            <w:r>
              <w:rPr>
                <w:rFonts w:hint="eastAsia"/>
              </w:rPr>
              <w:t>方案内容完整且与项目匹配度好的得5分；方案内容基本完整且与项目匹配度较好的得2-4分；方案内容存在欠缺或与项目匹配度一般的得0-2分；方案内容缺失严重或与项目不匹配的不得分。</w:t>
            </w:r>
          </w:p>
        </w:tc>
        <w:tc>
          <w:tcPr>
            <w:tcW w:w="1016" w:type="dxa"/>
            <w:tcBorders>
              <w:top w:val="nil"/>
              <w:left w:val="nil"/>
              <w:bottom w:val="single" w:color="auto" w:sz="4" w:space="0"/>
              <w:right w:val="single" w:color="auto" w:sz="8" w:space="0"/>
            </w:tcBorders>
            <w:vAlign w:val="center"/>
          </w:tcPr>
          <w:p>
            <w:pPr>
              <w:rPr>
                <w:rFonts w:ascii="仿宋" w:hAnsi="仿宋" w:eastAsia="仿宋" w:cs="仿宋"/>
                <w:szCs w:val="21"/>
              </w:rPr>
            </w:pPr>
            <w:r>
              <w:rPr>
                <w:rFonts w:hint="eastAsia" w:ascii="仿宋" w:hAnsi="仿宋" w:eastAsia="仿宋" w:cs="仿宋"/>
                <w:szCs w:val="21"/>
              </w:rPr>
              <w:t>2-5分</w:t>
            </w:r>
          </w:p>
        </w:tc>
      </w:tr>
      <w:tr>
        <w:tblPrEx>
          <w:tblCellMar>
            <w:top w:w="0" w:type="dxa"/>
            <w:left w:w="108" w:type="dxa"/>
            <w:bottom w:w="0" w:type="dxa"/>
            <w:right w:w="108" w:type="dxa"/>
          </w:tblCellMar>
        </w:tblPrEx>
        <w:trPr>
          <w:trHeight w:val="615" w:hRule="atLeast"/>
        </w:trPr>
        <w:tc>
          <w:tcPr>
            <w:tcW w:w="1100" w:type="dxa"/>
            <w:vMerge w:val="continue"/>
            <w:tcBorders>
              <w:left w:val="single" w:color="auto" w:sz="4" w:space="0"/>
              <w:right w:val="single" w:color="auto" w:sz="4" w:space="0"/>
            </w:tcBorders>
            <w:vAlign w:val="center"/>
          </w:tcPr>
          <w:p>
            <w:pPr>
              <w:rPr>
                <w:rFonts w:ascii="仿宋" w:hAnsi="仿宋" w:eastAsia="仿宋" w:cs="仿宋"/>
                <w:szCs w:val="21"/>
              </w:rPr>
            </w:pPr>
          </w:p>
        </w:tc>
        <w:tc>
          <w:tcPr>
            <w:tcW w:w="848" w:type="dxa"/>
            <w:tcBorders>
              <w:top w:val="nil"/>
              <w:left w:val="single" w:color="auto" w:sz="8"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9</w:t>
            </w:r>
          </w:p>
        </w:tc>
        <w:tc>
          <w:tcPr>
            <w:tcW w:w="5683" w:type="dxa"/>
            <w:tcBorders>
              <w:top w:val="nil"/>
              <w:left w:val="nil"/>
              <w:bottom w:val="single" w:color="auto" w:sz="4" w:space="0"/>
              <w:right w:val="single" w:color="auto" w:sz="4" w:space="0"/>
            </w:tcBorders>
            <w:vAlign w:val="center"/>
          </w:tcPr>
          <w:p>
            <w:pPr>
              <w:pStyle w:val="25"/>
              <w:snapToGrid w:val="0"/>
              <w:spacing w:line="360" w:lineRule="auto"/>
              <w:rPr>
                <w:rFonts w:ascii="仿宋" w:hAnsi="仿宋" w:eastAsia="仿宋" w:cs="仿宋"/>
                <w:szCs w:val="21"/>
              </w:rPr>
            </w:pPr>
            <w:r>
              <w:rPr>
                <w:rFonts w:hint="eastAsia" w:ascii="仿宋" w:hAnsi="仿宋" w:eastAsia="仿宋" w:cs="仿宋"/>
                <w:szCs w:val="21"/>
              </w:rPr>
              <w:t>拥有较强的图片拍摄水平和制作能力。（说明：根据提供的相应代表作品评定）</w:t>
            </w:r>
            <w:r>
              <w:rPr>
                <w:rFonts w:hint="eastAsia"/>
              </w:rPr>
              <w:t>方案内容完整且与项目匹配度好的得7-9分；方案内容基本完整且与项目匹配度较好的得5-7分；方案内容存在欠缺或与项目匹配度一般的得2-5分；方案内容缺失严重或与项目不匹配的不得分。</w:t>
            </w:r>
          </w:p>
        </w:tc>
        <w:tc>
          <w:tcPr>
            <w:tcW w:w="1016" w:type="dxa"/>
            <w:tcBorders>
              <w:top w:val="nil"/>
              <w:left w:val="nil"/>
              <w:bottom w:val="single" w:color="auto" w:sz="4" w:space="0"/>
              <w:right w:val="single" w:color="auto" w:sz="8" w:space="0"/>
            </w:tcBorders>
            <w:vAlign w:val="center"/>
          </w:tcPr>
          <w:p>
            <w:pPr>
              <w:rPr>
                <w:rFonts w:ascii="仿宋" w:hAnsi="仿宋" w:eastAsia="仿宋" w:cs="仿宋"/>
                <w:szCs w:val="21"/>
              </w:rPr>
            </w:pPr>
            <w:r>
              <w:rPr>
                <w:rFonts w:hint="eastAsia" w:ascii="仿宋" w:hAnsi="仿宋" w:eastAsia="仿宋" w:cs="仿宋"/>
                <w:szCs w:val="21"/>
              </w:rPr>
              <w:t>2-9分</w:t>
            </w:r>
          </w:p>
        </w:tc>
      </w:tr>
      <w:tr>
        <w:tblPrEx>
          <w:tblCellMar>
            <w:top w:w="0" w:type="dxa"/>
            <w:left w:w="108" w:type="dxa"/>
            <w:bottom w:w="0" w:type="dxa"/>
            <w:right w:w="108" w:type="dxa"/>
          </w:tblCellMar>
        </w:tblPrEx>
        <w:trPr>
          <w:trHeight w:val="847" w:hRule="atLeast"/>
        </w:trPr>
        <w:tc>
          <w:tcPr>
            <w:tcW w:w="1100" w:type="dxa"/>
            <w:vMerge w:val="continue"/>
            <w:tcBorders>
              <w:left w:val="single" w:color="auto" w:sz="4" w:space="0"/>
              <w:right w:val="single" w:color="auto" w:sz="4" w:space="0"/>
            </w:tcBorders>
            <w:vAlign w:val="center"/>
          </w:tcPr>
          <w:p>
            <w:pPr>
              <w:rPr>
                <w:rFonts w:ascii="仿宋" w:hAnsi="仿宋" w:eastAsia="仿宋" w:cs="仿宋"/>
                <w:szCs w:val="21"/>
              </w:rPr>
            </w:pPr>
          </w:p>
        </w:tc>
        <w:tc>
          <w:tcPr>
            <w:tcW w:w="848" w:type="dxa"/>
            <w:tcBorders>
              <w:top w:val="nil"/>
              <w:left w:val="single" w:color="auto" w:sz="8"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10</w:t>
            </w:r>
          </w:p>
        </w:tc>
        <w:tc>
          <w:tcPr>
            <w:tcW w:w="5683" w:type="dxa"/>
            <w:tcBorders>
              <w:top w:val="nil"/>
              <w:left w:val="nil"/>
              <w:bottom w:val="single" w:color="auto" w:sz="4" w:space="0"/>
              <w:right w:val="single" w:color="auto" w:sz="4" w:space="0"/>
            </w:tcBorders>
            <w:vAlign w:val="center"/>
          </w:tcPr>
          <w:p>
            <w:pPr>
              <w:pStyle w:val="25"/>
              <w:snapToGrid w:val="0"/>
              <w:spacing w:line="360" w:lineRule="auto"/>
              <w:rPr>
                <w:rFonts w:ascii="仿宋" w:hAnsi="仿宋" w:eastAsia="仿宋" w:cs="仿宋"/>
                <w:szCs w:val="21"/>
              </w:rPr>
            </w:pPr>
            <w:r>
              <w:rPr>
                <w:rFonts w:hint="eastAsia" w:ascii="仿宋" w:hAnsi="仿宋" w:eastAsia="仿宋" w:cs="仿宋"/>
                <w:szCs w:val="21"/>
              </w:rPr>
              <w:t>拥有较强的专版设计和编辑能力。（说明：根据提供的相应代表作品评定）</w:t>
            </w:r>
            <w:r>
              <w:rPr>
                <w:rFonts w:hint="eastAsia"/>
              </w:rPr>
              <w:t>方案内容完整且与项目匹配度好的得7-9分；方案内容基本完整且与项目匹配度较好的得5-7分；方案内容存在欠缺或与项目匹配度一般的得2-5分；方案内容缺失严重或与项目不匹配的不得分。</w:t>
            </w:r>
          </w:p>
        </w:tc>
        <w:tc>
          <w:tcPr>
            <w:tcW w:w="1016" w:type="dxa"/>
            <w:tcBorders>
              <w:top w:val="nil"/>
              <w:left w:val="nil"/>
              <w:bottom w:val="single" w:color="auto" w:sz="4" w:space="0"/>
              <w:right w:val="single" w:color="auto" w:sz="8" w:space="0"/>
            </w:tcBorders>
            <w:vAlign w:val="center"/>
          </w:tcPr>
          <w:p>
            <w:pPr>
              <w:rPr>
                <w:rFonts w:ascii="仿宋" w:hAnsi="仿宋" w:eastAsia="仿宋" w:cs="仿宋"/>
                <w:szCs w:val="21"/>
              </w:rPr>
            </w:pPr>
            <w:r>
              <w:rPr>
                <w:rFonts w:hint="eastAsia" w:ascii="仿宋" w:hAnsi="仿宋" w:eastAsia="仿宋" w:cs="仿宋"/>
                <w:szCs w:val="21"/>
              </w:rPr>
              <w:t>2-9分</w:t>
            </w:r>
          </w:p>
        </w:tc>
      </w:tr>
      <w:tr>
        <w:tblPrEx>
          <w:tblCellMar>
            <w:top w:w="0" w:type="dxa"/>
            <w:left w:w="108" w:type="dxa"/>
            <w:bottom w:w="0" w:type="dxa"/>
            <w:right w:w="108" w:type="dxa"/>
          </w:tblCellMar>
        </w:tblPrEx>
        <w:trPr>
          <w:trHeight w:val="615" w:hRule="atLeast"/>
        </w:trPr>
        <w:tc>
          <w:tcPr>
            <w:tcW w:w="1100" w:type="dxa"/>
            <w:vMerge w:val="continue"/>
            <w:tcBorders>
              <w:left w:val="single" w:color="auto" w:sz="4" w:space="0"/>
              <w:bottom w:val="single" w:color="000000" w:sz="8" w:space="0"/>
              <w:right w:val="single" w:color="auto" w:sz="4" w:space="0"/>
            </w:tcBorders>
            <w:vAlign w:val="center"/>
          </w:tcPr>
          <w:p>
            <w:pPr>
              <w:rPr>
                <w:rFonts w:ascii="仿宋" w:hAnsi="仿宋" w:eastAsia="仿宋" w:cs="仿宋"/>
                <w:szCs w:val="21"/>
              </w:rPr>
            </w:pPr>
          </w:p>
        </w:tc>
        <w:tc>
          <w:tcPr>
            <w:tcW w:w="848" w:type="dxa"/>
            <w:tcBorders>
              <w:top w:val="single" w:color="auto" w:sz="8" w:space="0"/>
              <w:left w:val="single" w:color="auto" w:sz="8" w:space="0"/>
              <w:bottom w:val="single" w:color="auto" w:sz="8" w:space="0"/>
              <w:right w:val="single" w:color="auto" w:sz="8" w:space="0"/>
            </w:tcBorders>
            <w:vAlign w:val="center"/>
          </w:tcPr>
          <w:p>
            <w:pPr>
              <w:pStyle w:val="25"/>
              <w:snapToGrid w:val="0"/>
              <w:spacing w:line="360" w:lineRule="auto"/>
              <w:ind w:firstLine="240" w:firstLineChars="100"/>
              <w:rPr>
                <w:rFonts w:ascii="仿宋" w:hAnsi="仿宋" w:eastAsia="仿宋" w:cs="仿宋"/>
                <w:szCs w:val="21"/>
              </w:rPr>
            </w:pPr>
            <w:r>
              <w:rPr>
                <w:rFonts w:hint="eastAsia" w:ascii="仿宋" w:hAnsi="仿宋" w:eastAsia="仿宋" w:cs="仿宋"/>
                <w:szCs w:val="21"/>
              </w:rPr>
              <w:t>11</w:t>
            </w:r>
          </w:p>
        </w:tc>
        <w:tc>
          <w:tcPr>
            <w:tcW w:w="5683" w:type="dxa"/>
            <w:tcBorders>
              <w:top w:val="single" w:color="auto" w:sz="8" w:space="0"/>
              <w:left w:val="single" w:color="auto" w:sz="8" w:space="0"/>
              <w:bottom w:val="single" w:color="auto" w:sz="8" w:space="0"/>
              <w:right w:val="single" w:color="auto" w:sz="8" w:space="0"/>
            </w:tcBorders>
            <w:vAlign w:val="center"/>
          </w:tcPr>
          <w:p>
            <w:pPr>
              <w:pStyle w:val="25"/>
              <w:snapToGrid w:val="0"/>
              <w:spacing w:line="360" w:lineRule="auto"/>
              <w:rPr>
                <w:rFonts w:ascii="仿宋" w:hAnsi="仿宋" w:eastAsia="仿宋" w:cs="仿宋"/>
                <w:szCs w:val="21"/>
              </w:rPr>
            </w:pPr>
            <w:r>
              <w:rPr>
                <w:rFonts w:hint="eastAsia" w:ascii="仿宋" w:hAnsi="仿宋" w:eastAsia="仿宋" w:cs="仿宋"/>
                <w:szCs w:val="21"/>
              </w:rPr>
              <w:t>投标文件制作质量（根据电子投标文件关联有序、内容规范、字句清晰、表述完整等情况综合评定）</w:t>
            </w:r>
            <w:r>
              <w:rPr>
                <w:rFonts w:hint="eastAsia"/>
              </w:rPr>
              <w:t>方案内容完整且与项目匹配度好的得</w:t>
            </w:r>
            <w:r>
              <w:rPr>
                <w:rFonts w:hint="eastAsia"/>
                <w:lang w:val="en-US" w:eastAsia="zh-CN"/>
              </w:rPr>
              <w:t>3</w:t>
            </w:r>
            <w:r>
              <w:rPr>
                <w:rFonts w:hint="eastAsia"/>
              </w:rPr>
              <w:t>分；方案内容基本完整且与项目匹配度较好的得</w:t>
            </w:r>
            <w:r>
              <w:rPr>
                <w:rFonts w:hint="eastAsia"/>
                <w:lang w:val="en-US" w:eastAsia="zh-CN"/>
              </w:rPr>
              <w:t>2</w:t>
            </w:r>
            <w:r>
              <w:rPr>
                <w:rFonts w:hint="eastAsia"/>
              </w:rPr>
              <w:t>分；方案内容存在欠缺或与项目匹配度一般的得</w:t>
            </w:r>
            <w:r>
              <w:rPr>
                <w:rFonts w:hint="eastAsia"/>
                <w:lang w:val="en-US" w:eastAsia="zh-CN"/>
              </w:rPr>
              <w:t>1</w:t>
            </w:r>
            <w:r>
              <w:rPr>
                <w:rFonts w:hint="eastAsia"/>
              </w:rPr>
              <w:t>分；方案内容缺失严重或与项目不匹配的不得分。</w:t>
            </w:r>
          </w:p>
        </w:tc>
        <w:tc>
          <w:tcPr>
            <w:tcW w:w="1016" w:type="dxa"/>
            <w:tcBorders>
              <w:top w:val="single" w:color="auto" w:sz="8" w:space="0"/>
              <w:left w:val="single" w:color="auto" w:sz="8" w:space="0"/>
              <w:bottom w:val="single" w:color="auto" w:sz="8" w:space="0"/>
              <w:right w:val="single" w:color="auto" w:sz="8" w:space="0"/>
            </w:tcBorders>
            <w:vAlign w:val="center"/>
          </w:tcPr>
          <w:p>
            <w:pPr>
              <w:pStyle w:val="25"/>
              <w:snapToGrid w:val="0"/>
              <w:spacing w:line="360" w:lineRule="auto"/>
              <w:rPr>
                <w:rFonts w:ascii="仿宋" w:hAnsi="仿宋" w:eastAsia="仿宋" w:cs="仿宋"/>
                <w:szCs w:val="21"/>
              </w:rPr>
            </w:pPr>
            <w:r>
              <w:rPr>
                <w:rFonts w:hint="eastAsia" w:ascii="仿宋" w:hAnsi="仿宋" w:eastAsia="仿宋" w:cs="仿宋"/>
                <w:szCs w:val="21"/>
              </w:rPr>
              <w:t>1-3分</w:t>
            </w:r>
          </w:p>
        </w:tc>
      </w:tr>
    </w:tbl>
    <w:p>
      <w:pPr>
        <w:pStyle w:val="42"/>
        <w:rPr>
          <w:rFonts w:ascii="仿宋" w:hAnsi="仿宋" w:eastAsia="仿宋" w:cs="仿宋"/>
        </w:rPr>
      </w:pPr>
    </w:p>
    <w:p>
      <w:pPr>
        <w:widowControl/>
        <w:spacing w:line="360" w:lineRule="auto"/>
        <w:ind w:firstLine="480" w:firstLineChars="200"/>
        <w:rPr>
          <w:rFonts w:ascii="仿宋" w:hAnsi="仿宋" w:eastAsia="仿宋" w:cs="仿宋"/>
          <w:sz w:val="24"/>
        </w:rPr>
      </w:pPr>
      <w:r>
        <w:rPr>
          <w:rFonts w:hint="eastAsia" w:ascii="仿宋" w:hAnsi="仿宋" w:eastAsia="仿宋" w:cs="仿宋"/>
          <w:bCs/>
          <w:sz w:val="24"/>
        </w:rPr>
        <w:t>注：</w:t>
      </w:r>
      <w:r>
        <w:rPr>
          <w:rFonts w:hint="eastAsia" w:ascii="仿宋" w:hAnsi="仿宋" w:eastAsia="仿宋" w:cs="仿宋"/>
          <w:sz w:val="24"/>
        </w:rPr>
        <w:t>投标文件中如附有外文资料，必须逐一对应翻译成中文并加盖供应商公章后附在相关外文资料后面，否则外文资料不予认可。翻译的中文资料与外文资料不符的，均不予认可。翻译严重错误的，将视同提供虚假资料。</w:t>
      </w:r>
    </w:p>
    <w:p>
      <w:pPr>
        <w:pStyle w:val="42"/>
        <w:rPr>
          <w:rFonts w:ascii="仿宋" w:hAnsi="仿宋" w:eastAsia="仿宋" w:cs="仿宋"/>
        </w:rPr>
      </w:pPr>
    </w:p>
    <w:p>
      <w:pPr>
        <w:widowControl/>
        <w:spacing w:line="360" w:lineRule="auto"/>
        <w:ind w:firstLine="480" w:firstLineChars="200"/>
        <w:rPr>
          <w:rFonts w:ascii="仿宋" w:hAnsi="仿宋" w:eastAsia="仿宋" w:cs="仿宋"/>
          <w:sz w:val="24"/>
        </w:rPr>
      </w:pPr>
      <w:r>
        <w:rPr>
          <w:rFonts w:hint="eastAsia" w:ascii="仿宋" w:hAnsi="仿宋" w:eastAsia="仿宋" w:cs="仿宋"/>
          <w:sz w:val="24"/>
        </w:rPr>
        <w:t>3、价格分（1</w:t>
      </w:r>
      <w:r>
        <w:rPr>
          <w:rFonts w:hint="eastAsia" w:ascii="仿宋" w:hAnsi="仿宋" w:eastAsia="仿宋" w:cs="仿宋"/>
          <w:sz w:val="24"/>
          <w:lang w:val="en-US" w:eastAsia="zh-CN"/>
        </w:rPr>
        <w:t>5</w:t>
      </w:r>
      <w:r>
        <w:rPr>
          <w:rFonts w:hint="eastAsia" w:ascii="仿宋" w:hAnsi="仿宋" w:eastAsia="仿宋" w:cs="仿宋"/>
          <w:sz w:val="24"/>
        </w:rPr>
        <w:t>分）</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ind w:firstLine="480" w:firstLineChars="200"/>
              <w:rPr>
                <w:rFonts w:ascii="仿宋" w:hAnsi="仿宋" w:eastAsia="仿宋" w:cs="仿宋"/>
                <w:sz w:val="24"/>
              </w:rPr>
            </w:pPr>
            <w:r>
              <w:rPr>
                <w:rFonts w:hint="eastAsia" w:ascii="仿宋" w:hAnsi="仿宋" w:eastAsia="仿宋" w:cs="仿宋"/>
                <w:sz w:val="24"/>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sz w:val="24"/>
              </w:rPr>
            </w:pPr>
            <w:r>
              <w:rPr>
                <w:rFonts w:hint="eastAsia" w:ascii="仿宋" w:hAnsi="仿宋" w:eastAsia="仿宋" w:cs="仿宋"/>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sz w:val="24"/>
                <w:lang w:eastAsia="zh-CN"/>
              </w:rPr>
            </w:pPr>
            <w:r>
              <w:rPr>
                <w:rFonts w:hint="eastAsia" w:ascii="仿宋" w:hAnsi="仿宋" w:eastAsia="仿宋" w:cs="仿宋"/>
                <w:sz w:val="24"/>
              </w:rPr>
              <w:t>价格权值=0.1</w:t>
            </w:r>
            <w:r>
              <w:rPr>
                <w:rFonts w:hint="eastAsia" w:ascii="仿宋" w:hAnsi="仿宋" w:eastAsia="仿宋" w:cs="仿宋"/>
                <w:sz w:val="24"/>
                <w:lang w:val="en-US" w:eastAsia="zh-CN"/>
              </w:rPr>
              <w:t>5</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rPr>
                <w:rFonts w:ascii="仿宋" w:hAnsi="仿宋" w:eastAsia="仿宋" w:cs="仿宋"/>
                <w:sz w:val="24"/>
              </w:rPr>
            </w:pPr>
            <w:r>
              <w:rPr>
                <w:rFonts w:hint="eastAsia" w:ascii="仿宋" w:hAnsi="仿宋" w:eastAsia="仿宋" w:cs="仿宋"/>
                <w:sz w:val="24"/>
              </w:rPr>
              <w:t>最低有效投标价格为评标基准价</w:t>
            </w:r>
          </w:p>
          <w:p>
            <w:pPr>
              <w:widowControl/>
              <w:rPr>
                <w:rFonts w:ascii="仿宋" w:hAnsi="仿宋" w:eastAsia="仿宋" w:cs="仿宋"/>
                <w:sz w:val="24"/>
              </w:rPr>
            </w:pPr>
            <w:r>
              <w:rPr>
                <w:rFonts w:hint="eastAsia" w:ascii="仿宋" w:hAnsi="仿宋" w:eastAsia="仿宋" w:cs="仿宋"/>
                <w:sz w:val="24"/>
              </w:rPr>
              <w:t>投标报价得分=(评标基准价／投标报价)×价格权值×100</w:t>
            </w:r>
          </w:p>
          <w:p>
            <w:pPr>
              <w:widowControl/>
              <w:rPr>
                <w:rFonts w:ascii="仿宋" w:hAnsi="仿宋" w:eastAsia="仿宋" w:cs="仿宋"/>
                <w:sz w:val="24"/>
              </w:rPr>
            </w:pPr>
            <w:r>
              <w:rPr>
                <w:rFonts w:hint="eastAsia" w:ascii="仿宋" w:hAnsi="仿宋" w:eastAsia="仿宋" w:cs="仿宋"/>
                <w:sz w:val="24"/>
              </w:rPr>
              <w:t>（计算得分保留小数点后2位）</w:t>
            </w:r>
          </w:p>
        </w:tc>
      </w:tr>
    </w:tbl>
    <w:p>
      <w:pPr>
        <w:snapToGrid w:val="0"/>
        <w:spacing w:line="360" w:lineRule="auto"/>
        <w:rPr>
          <w:rFonts w:ascii="仿宋" w:hAnsi="仿宋" w:eastAsia="仿宋" w:cs="仿宋"/>
          <w:b/>
          <w:sz w:val="24"/>
        </w:rPr>
      </w:pPr>
    </w:p>
    <w:p>
      <w:pPr>
        <w:snapToGrid w:val="0"/>
        <w:spacing w:line="360" w:lineRule="auto"/>
        <w:rPr>
          <w:rFonts w:ascii="仿宋" w:hAnsi="仿宋" w:eastAsia="仿宋" w:cs="仿宋"/>
          <w:b/>
          <w:sz w:val="24"/>
        </w:rPr>
      </w:pPr>
      <w:r>
        <w:rPr>
          <w:rFonts w:hint="eastAsia" w:ascii="仿宋" w:hAnsi="仿宋" w:eastAsia="仿宋" w:cs="仿宋"/>
          <w:b/>
          <w:sz w:val="24"/>
        </w:rPr>
        <w:t>备注：</w:t>
      </w:r>
      <w:r>
        <w:rPr>
          <w:rFonts w:hint="eastAsia" w:ascii="仿宋" w:hAnsi="仿宋" w:eastAsia="仿宋" w:cs="仿宋"/>
          <w:sz w:val="24"/>
        </w:rPr>
        <w:t>供应商编制投标文件（商务技术文件部分）时，建议按此目录（序号和内容）提供评标标准相应的商务技术资料。</w:t>
      </w:r>
    </w:p>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综合评分法，是指投标文件满足交易文件全部实质性要求，且按照评审因素的量化指标评审得分最高的供应商为中标候选人的评标方法。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2.评标标准：</w:t>
      </w:r>
      <w:r>
        <w:rPr>
          <w:rFonts w:hint="eastAsia" w:ascii="仿宋" w:hAnsi="仿宋" w:eastAsia="仿宋" w:cs="仿宋"/>
          <w:color w:val="auto"/>
          <w:kern w:val="0"/>
          <w:sz w:val="24"/>
          <w:highlight w:val="none"/>
        </w:rPr>
        <w:t>见评标办法前附表。</w:t>
      </w:r>
    </w:p>
    <w:p>
      <w:pPr>
        <w:adjustRightInd/>
        <w:spacing w:line="360" w:lineRule="auto"/>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三、评标程序</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评标委员会应当对符合资格的供应商的投标文件进行符合性审查，以确定其是否满足交易文件的实质性要求。不满足交易文件的实质性要求的，投标无效。</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3.2比较与评价。</w:t>
      </w:r>
      <w:r>
        <w:rPr>
          <w:rFonts w:hint="eastAsia" w:ascii="仿宋" w:hAnsi="仿宋" w:eastAsia="仿宋" w:cs="仿宋"/>
          <w:color w:val="auto"/>
          <w:kern w:val="0"/>
          <w:sz w:val="24"/>
          <w:highlight w:val="none"/>
        </w:rPr>
        <w:t>评标委员会应当按照交易文件中规定的评标方法和标准，对符合性审查合格的投标文件进行商务和技术评估，综合比较与评价。</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评标委员会各成员应当独立对每个供应商的商务和技术文件进行评价，并汇总商务技术得分情况。</w:t>
      </w:r>
    </w:p>
    <w:p>
      <w:pPr>
        <w:spacing w:line="360" w:lineRule="auto"/>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220"/>
        <w:spacing w:before="0"/>
        <w:ind w:firstLine="0" w:firstLineChars="0"/>
        <w:rPr>
          <w:rFonts w:hint="eastAsia" w:ascii="仿宋" w:hAnsi="仿宋" w:eastAsia="仿宋" w:cs="仿宋"/>
          <w:b/>
          <w:color w:val="auto"/>
          <w:kern w:val="0"/>
          <w:highlight w:val="none"/>
        </w:rPr>
      </w:pPr>
      <w:r>
        <w:rPr>
          <w:rFonts w:hint="eastAsia" w:ascii="仿宋" w:hAnsi="仿宋" w:eastAsia="仿宋" w:cs="仿宋"/>
          <w:b/>
          <w:color w:val="auto"/>
          <w:kern w:val="0"/>
          <w:highlight w:val="none"/>
        </w:rPr>
        <w:t>3.4.1投标文件报价出现前后不一致的，按照下列规定修正：</w:t>
      </w:r>
    </w:p>
    <w:p>
      <w:pPr>
        <w:pStyle w:val="220"/>
        <w:spacing w:before="0"/>
        <w:ind w:firstLine="0"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220"/>
        <w:spacing w:before="0"/>
        <w:ind w:firstLine="0"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220"/>
        <w:spacing w:before="0"/>
        <w:ind w:firstLine="0"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220"/>
        <w:spacing w:before="0"/>
        <w:ind w:firstLine="0"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220"/>
        <w:spacing w:before="0"/>
        <w:ind w:firstLine="0"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3.4.1.5同时出现两种以上不一致的，按照3.4.1规定的顺序修正。修正后的报价按照财政部第87号令《政府采购货物和服务交易投标管理办法》第五十一条第二款的规定经供应商确认后产生约束力。</w:t>
      </w:r>
    </w:p>
    <w:p>
      <w:pPr>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3.4.3</w:t>
      </w:r>
      <w:r>
        <w:rPr>
          <w:rFonts w:hint="eastAsia" w:ascii="仿宋" w:hAnsi="仿宋" w:eastAsia="仿宋" w:cs="仿宋"/>
          <w:color w:val="auto"/>
          <w:kern w:val="0"/>
          <w:sz w:val="24"/>
          <w:highlight w:val="none"/>
        </w:rPr>
        <w:t>投标报价超过交易文件中规定的预算金额或者最高限价的，投标无效。</w:t>
      </w:r>
    </w:p>
    <w:p>
      <w:pPr>
        <w:pStyle w:val="220"/>
        <w:spacing w:before="0"/>
        <w:ind w:firstLine="0" w:firstLineChars="0"/>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3.4.4</w:t>
      </w:r>
      <w:r>
        <w:rPr>
          <w:rFonts w:hint="eastAsia" w:ascii="仿宋" w:hAnsi="仿宋" w:eastAsia="仿宋" w:cs="仿宋"/>
          <w:color w:val="auto"/>
          <w:kern w:val="0"/>
          <w:szCs w:val="24"/>
          <w:highlight w:val="none"/>
        </w:rPr>
        <w:t>评标委员会认为供应商的报价明显低于其他通过符合性审查供应商的报价，有可能影响产品质量或者不能诚信履约的，应当要求其在合理的时间内提供书面说明，必要时提交相关证明材料;供应商不能证明其报价合理性的，评标委员会应当将其作为无效投标处理。</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3.5排序与推荐</w:t>
      </w:r>
      <w:r>
        <w:rPr>
          <w:rFonts w:hint="eastAsia" w:ascii="仿宋" w:hAnsi="仿宋" w:eastAsia="仿宋" w:cs="仿宋"/>
          <w:b/>
          <w:color w:val="auto"/>
          <w:kern w:val="0"/>
          <w:sz w:val="24"/>
          <w:highlight w:val="none"/>
        </w:rPr>
        <w:t>。</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交易文件全部实质性要求，且按照评审因素的量化指标评审得分最高的供应商为排名第一的中标候选人。</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多家供应商提供相同品牌产品（单一产品采购项目中的该产品或者非单一产品采购项目的核心产品）且通过资格审查、符合性审查的不同供应商参加同一合同项下投标的，按一家供应商计算，评审后得分最高的同品牌供应商获得成交人推荐资格；评审得分相同的，采取随机抽取方式确定，其他同品牌供应商不作为中标候选人。</w:t>
      </w:r>
    </w:p>
    <w:p>
      <w:pPr>
        <w:widowControl/>
        <w:adjustRightInd/>
        <w:spacing w:before="100" w:beforeAutospacing="1" w:after="100" w:afterAutospacing="1" w:line="360" w:lineRule="auto"/>
        <w:jc w:val="left"/>
        <w:rPr>
          <w:rFonts w:hint="eastAsia" w:ascii="仿宋" w:hAnsi="仿宋" w:eastAsia="仿宋" w:cs="仿宋"/>
          <w:color w:val="auto"/>
          <w:kern w:val="0"/>
          <w:szCs w:val="21"/>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220"/>
        <w:spacing w:before="0"/>
        <w:ind w:firstLine="0" w:firstLineChars="0"/>
        <w:rPr>
          <w:rFonts w:hint="eastAsia" w:ascii="仿宋" w:hAnsi="仿宋" w:eastAsia="仿宋" w:cs="仿宋"/>
          <w:color w:val="auto"/>
          <w:kern w:val="0"/>
          <w:szCs w:val="24"/>
          <w:highlight w:val="none"/>
        </w:rPr>
      </w:pPr>
      <w:r>
        <w:rPr>
          <w:rFonts w:hint="eastAsia" w:ascii="仿宋" w:hAnsi="仿宋" w:eastAsia="仿宋" w:cs="仿宋"/>
          <w:b/>
          <w:bCs/>
          <w:color w:val="auto"/>
          <w:kern w:val="0"/>
          <w:szCs w:val="21"/>
          <w:highlight w:val="none"/>
        </w:rPr>
        <w:t>4.1</w:t>
      </w:r>
      <w:r>
        <w:rPr>
          <w:rFonts w:hint="eastAsia" w:ascii="仿宋" w:hAnsi="仿宋" w:eastAsia="仿宋" w:cs="仿宋"/>
          <w:b/>
          <w:bCs/>
          <w:color w:val="auto"/>
          <w:kern w:val="0"/>
          <w:szCs w:val="24"/>
          <w:highlight w:val="none"/>
        </w:rPr>
        <w:t>供应商澄清、说明或者补正。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供应商作出必要的澄清、说明或者补正的，评标委员会和供应商通过电子交易平台交换数据电文，供应商提交使用电子签章的相关数据电文或通过平台上传加盖公章的扫描件。给予供应商提交澄清、说明或补正的时间不得少于半小时，供应商已经明确表示澄清说明或补正完毕的除外。供应商的澄清、说明或者补正不得超出投标文件的范围或者改变投标文件的实质性内容。</w:t>
      </w:r>
    </w:p>
    <w:p>
      <w:pPr>
        <w:widowControl/>
        <w:adjustRightInd/>
        <w:spacing w:after="225" w:line="315" w:lineRule="atLeast"/>
        <w:jc w:val="left"/>
        <w:rPr>
          <w:rFonts w:hint="eastAsia" w:ascii="仿宋" w:hAnsi="仿宋" w:eastAsia="仿宋" w:cs="仿宋"/>
          <w:color w:val="auto"/>
          <w:kern w:val="0"/>
          <w:szCs w:val="21"/>
          <w:highlight w:val="none"/>
        </w:rPr>
      </w:pPr>
    </w:p>
    <w:p>
      <w:pPr>
        <w:pStyle w:val="25"/>
        <w:spacing w:line="360" w:lineRule="auto"/>
        <w:ind w:left="559" w:hanging="559" w:hangingChars="199"/>
        <w:rPr>
          <w:rFonts w:hint="eastAsia" w:ascii="仿宋" w:hAnsi="仿宋" w:eastAsia="仿宋" w:cs="仿宋"/>
          <w:color w:val="auto"/>
          <w:szCs w:val="21"/>
          <w:highlight w:val="none"/>
        </w:rPr>
      </w:pPr>
      <w:r>
        <w:rPr>
          <w:rFonts w:hint="eastAsia" w:ascii="仿宋" w:hAnsi="仿宋" w:eastAsia="仿宋" w:cs="仿宋"/>
          <w:b/>
          <w:color w:val="auto"/>
          <w:spacing w:val="2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4.2.1供应商不具备交易文件中规定的资格要求的（供应商未提供有效的资格文件的，视为供应商不具备交易文件中规定的资格要求）；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4.2.2投标文件未按照交易文件要求签署、盖章的；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4.2.3采购人拟采购的产品属于政府强制采购的节能产品品目清单范围的，供应商未按交易文件要求提供国家确定的认证机构出具的、处于有效期之内的节能产品认证证书</w:t>
      </w:r>
      <w:r>
        <w:rPr>
          <w:rFonts w:hint="eastAsia" w:ascii="仿宋" w:hAnsi="仿宋" w:eastAsia="仿宋" w:cs="仿宋"/>
          <w:color w:val="auto"/>
          <w:sz w:val="24"/>
          <w:highlight w:val="none"/>
        </w:rPr>
        <w:t>、环境标志产品认证证书</w:t>
      </w:r>
      <w:r>
        <w:rPr>
          <w:rFonts w:hint="eastAsia" w:ascii="仿宋" w:hAnsi="仿宋" w:eastAsia="仿宋" w:cs="仿宋"/>
          <w:color w:val="auto"/>
          <w:kern w:val="0"/>
          <w:sz w:val="24"/>
          <w:highlight w:val="none"/>
        </w:rPr>
        <w:t>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4.2.5投标文件中承诺的投标有效期少于交易文件中载明的投标有效期的；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4.2.7投标报价超过交易文件中规定的预算金额或者最高限价的;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4.2.9供应商对根据修正原则修正后的报价不确认的；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4.2.10供应商提供虚假材料投标的；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4.2.11供应商有恶意串通、妨碍其他供应商的竞争行为、损害采购人或者其他供应商的合法权益情形的；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4.2.12供应商仅提交备份投标文件，没有在电子交易平台传输递交投标文件的，投标无效；</w:t>
      </w:r>
    </w:p>
    <w:p>
      <w:pPr>
        <w:pStyle w:val="5"/>
        <w:numPr>
          <w:ilvl w:val="0"/>
          <w:numId w:val="0"/>
        </w:numPr>
        <w:ind w:firstLine="480" w:firstLineChars="200"/>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4.2.13投标文件不满足交易文件的其它实质性要求的；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5"/>
        <w:snapToGrid w:val="0"/>
        <w:spacing w:line="360" w:lineRule="auto"/>
        <w:ind w:firstLine="0" w:firstLineChars="0"/>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5.1符合专业条件的供应商或者对交易文件作实质响应的供应商不足3家的；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5.3供应商的报价均超过了采购预算，采购人不能支付的；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废标后，采购机构应当将废标理由通知所有供应商。</w:t>
      </w:r>
    </w:p>
    <w:p>
      <w:pPr>
        <w:pStyle w:val="25"/>
        <w:snapToGrid w:val="0"/>
        <w:spacing w:line="360" w:lineRule="auto"/>
        <w:ind w:firstLine="118" w:firstLineChars="49"/>
        <w:rPr>
          <w:rFonts w:hint="eastAsia" w:ascii="仿宋" w:hAnsi="仿宋" w:eastAsia="仿宋" w:cs="仿宋"/>
          <w:color w:val="auto"/>
          <w:highlight w:val="none"/>
        </w:rPr>
      </w:pPr>
      <w:r>
        <w:rPr>
          <w:rFonts w:hint="eastAsia" w:ascii="仿宋" w:hAnsi="仿宋" w:eastAsia="仿宋" w:cs="仿宋"/>
          <w:b/>
          <w:color w:val="auto"/>
          <w:highlight w:val="none"/>
        </w:rPr>
        <w:t>6.修改交易文件，重新组织采购活动。</w:t>
      </w:r>
      <w:r>
        <w:rPr>
          <w:rFonts w:hint="eastAsia" w:ascii="仿宋" w:hAnsi="仿宋" w:eastAsia="仿宋" w:cs="仿宋"/>
          <w:color w:val="auto"/>
          <w:highlight w:val="none"/>
        </w:rPr>
        <w:t>评标委员会发现交易文件存在歧义、重大缺陷导致评标工作无法进行，或者交易文件内容违反国家有关强制性规定的，将停止评标工作，并与采购人、采购机构沟通并作书面记录。采购人、采购机构确认后，将修改交易文件，重新组织采购活动。</w:t>
      </w:r>
    </w:p>
    <w:p>
      <w:pPr>
        <w:pStyle w:val="25"/>
        <w:snapToGrid w:val="0"/>
        <w:spacing w:line="360" w:lineRule="auto"/>
        <w:ind w:firstLine="118" w:firstLineChars="49"/>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7.1未确定中标或者成交人的，终止本次政府采购活动，重新开展政府采购活动。</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7.2已确定中标或者成交人但尚未签订政府采购合同的，中标或者成交结果无效，从合格的中标或者成交候选人中另行确定中标或者成交人；没有合格的中标或者成交候选人的，重新开展政府采购活动。</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7.3政府采购合同已签订但尚未履行的，撤销合同，从合格的中标或者成交候选人中另行确定中标或者成交人；没有合格的中标或者成交候选人的，重新开展政府采购活动。</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p>
      <w:pPr>
        <w:widowControl/>
        <w:spacing w:line="360" w:lineRule="auto"/>
        <w:ind w:firstLine="480" w:firstLineChars="200"/>
        <w:rPr>
          <w:rFonts w:hint="eastAsia" w:ascii="仿宋" w:hAnsi="仿宋" w:eastAsia="仿宋" w:cs="仿宋"/>
          <w:color w:val="auto"/>
          <w:sz w:val="24"/>
          <w:highlight w:val="none"/>
        </w:rPr>
      </w:pPr>
    </w:p>
    <w:p>
      <w:pPr>
        <w:pStyle w:val="4"/>
        <w:rPr>
          <w:rFonts w:hint="eastAsia" w:ascii="仿宋" w:hAnsi="仿宋" w:eastAsia="仿宋" w:cs="仿宋"/>
          <w:color w:val="auto"/>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highlight w:val="none"/>
        </w:rPr>
        <w:t>第五部分</w:t>
      </w:r>
      <w:bookmarkEnd w:id="60"/>
      <w:r>
        <w:rPr>
          <w:rFonts w:hint="eastAsia" w:ascii="仿宋" w:hAnsi="仿宋" w:eastAsia="仿宋" w:cs="仿宋"/>
          <w:color w:val="auto"/>
          <w:highlight w:val="none"/>
        </w:rPr>
        <w:t>拟签订的合同文本</w:t>
      </w:r>
    </w:p>
    <w:p>
      <w:pPr>
        <w:pStyle w:val="25"/>
        <w:snapToGrid w:val="0"/>
        <w:spacing w:line="360" w:lineRule="auto"/>
        <w:jc w:val="center"/>
        <w:rPr>
          <w:rFonts w:hint="eastAsia" w:ascii="仿宋" w:hAnsi="仿宋" w:eastAsia="仿宋" w:cs="仿宋"/>
          <w:color w:val="auto"/>
          <w:highlight w:val="none"/>
        </w:rPr>
      </w:pPr>
      <w:bookmarkStart w:id="430" w:name="第五部分"/>
      <w:bookmarkStart w:id="431" w:name="_Toc86217003"/>
      <w:r>
        <w:rPr>
          <w:rFonts w:hint="eastAsia" w:ascii="仿宋" w:hAnsi="仿宋" w:eastAsia="仿宋" w:cs="仿宋"/>
          <w:color w:val="auto"/>
          <w:highlight w:val="none"/>
        </w:rPr>
        <w:t>（服务类参考样本,具体以交易人实际合同为准）</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合同编号：</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签订地点：签订时间：2022年月日</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项目名称：</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甲方（需方）：</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乙方（供方）：</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供、需双方根据杭州市萧山区项目（交易编号---）交易结果和交易文件的要求，并经双方协调一致，订立本采购合同。</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一、合同文件：</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1、合同条款。</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2、中标通知书。</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3、交易文件。</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4、更正公告。</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5、中标单位投标文件。</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6、其他。</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二、合同金额:本合同金额为(大写)_________________元（￥元）人民币附：《采购项目清单内容》</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945" w:type="dxa"/>
            <w:vAlign w:val="center"/>
          </w:tcPr>
          <w:p>
            <w:pPr>
              <w:pStyle w:val="25"/>
              <w:snapToGrid w:val="0"/>
              <w:spacing w:line="360" w:lineRule="auto"/>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序号</w:t>
            </w:r>
          </w:p>
        </w:tc>
        <w:tc>
          <w:tcPr>
            <w:tcW w:w="1692" w:type="dxa"/>
            <w:vAlign w:val="center"/>
          </w:tcPr>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采购项目</w:t>
            </w:r>
          </w:p>
        </w:tc>
        <w:tc>
          <w:tcPr>
            <w:tcW w:w="1800" w:type="dxa"/>
            <w:vAlign w:val="center"/>
          </w:tcPr>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中标内容</w:t>
            </w:r>
          </w:p>
        </w:tc>
        <w:tc>
          <w:tcPr>
            <w:tcW w:w="1758" w:type="dxa"/>
            <w:vAlign w:val="center"/>
          </w:tcPr>
          <w:p>
            <w:pPr>
              <w:pStyle w:val="25"/>
              <w:snapToGrid w:val="0"/>
              <w:spacing w:line="360" w:lineRule="auto"/>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中标单价（元）</w:t>
            </w:r>
          </w:p>
        </w:tc>
        <w:tc>
          <w:tcPr>
            <w:tcW w:w="762" w:type="dxa"/>
            <w:vAlign w:val="center"/>
          </w:tcPr>
          <w:p>
            <w:pPr>
              <w:pStyle w:val="25"/>
              <w:snapToGrid w:val="0"/>
              <w:spacing w:line="360" w:lineRule="auto"/>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数量</w:t>
            </w:r>
          </w:p>
        </w:tc>
        <w:tc>
          <w:tcPr>
            <w:tcW w:w="1867" w:type="dxa"/>
            <w:vAlign w:val="center"/>
          </w:tcPr>
          <w:p>
            <w:pPr>
              <w:pStyle w:val="25"/>
              <w:snapToGrid w:val="0"/>
              <w:spacing w:line="360" w:lineRule="auto"/>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vAlign w:val="center"/>
          </w:tcPr>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w:t>
            </w:r>
          </w:p>
        </w:tc>
        <w:tc>
          <w:tcPr>
            <w:tcW w:w="1692" w:type="dxa"/>
            <w:vAlign w:val="center"/>
          </w:tcPr>
          <w:p>
            <w:pPr>
              <w:pStyle w:val="25"/>
              <w:snapToGrid w:val="0"/>
              <w:spacing w:line="360" w:lineRule="auto"/>
              <w:rPr>
                <w:rFonts w:hint="eastAsia" w:ascii="仿宋" w:hAnsi="仿宋" w:eastAsia="仿宋" w:cs="仿宋"/>
                <w:color w:val="auto"/>
                <w:highlight w:val="none"/>
              </w:rPr>
            </w:pPr>
          </w:p>
        </w:tc>
        <w:tc>
          <w:tcPr>
            <w:tcW w:w="1800" w:type="dxa"/>
            <w:vAlign w:val="center"/>
          </w:tcPr>
          <w:p>
            <w:pPr>
              <w:pStyle w:val="25"/>
              <w:snapToGrid w:val="0"/>
              <w:spacing w:line="360" w:lineRule="auto"/>
              <w:rPr>
                <w:rFonts w:hint="eastAsia" w:ascii="仿宋" w:hAnsi="仿宋" w:eastAsia="仿宋" w:cs="仿宋"/>
                <w:color w:val="auto"/>
                <w:highlight w:val="none"/>
              </w:rPr>
            </w:pPr>
          </w:p>
        </w:tc>
        <w:tc>
          <w:tcPr>
            <w:tcW w:w="1758" w:type="dxa"/>
            <w:vAlign w:val="center"/>
          </w:tcPr>
          <w:p>
            <w:pPr>
              <w:pStyle w:val="25"/>
              <w:snapToGrid w:val="0"/>
              <w:spacing w:line="360" w:lineRule="auto"/>
              <w:rPr>
                <w:rFonts w:hint="eastAsia" w:ascii="仿宋" w:hAnsi="仿宋" w:eastAsia="仿宋" w:cs="仿宋"/>
                <w:color w:val="auto"/>
                <w:highlight w:val="none"/>
              </w:rPr>
            </w:pPr>
          </w:p>
        </w:tc>
        <w:tc>
          <w:tcPr>
            <w:tcW w:w="762" w:type="dxa"/>
            <w:vAlign w:val="center"/>
          </w:tcPr>
          <w:p>
            <w:pPr>
              <w:pStyle w:val="25"/>
              <w:snapToGrid w:val="0"/>
              <w:spacing w:line="360" w:lineRule="auto"/>
              <w:rPr>
                <w:rFonts w:hint="eastAsia" w:ascii="仿宋" w:hAnsi="仿宋" w:eastAsia="仿宋" w:cs="仿宋"/>
                <w:color w:val="auto"/>
                <w:highlight w:val="none"/>
              </w:rPr>
            </w:pPr>
          </w:p>
        </w:tc>
        <w:tc>
          <w:tcPr>
            <w:tcW w:w="1867" w:type="dxa"/>
            <w:vAlign w:val="center"/>
          </w:tcPr>
          <w:p>
            <w:pPr>
              <w:pStyle w:val="25"/>
              <w:snapToGrid w:val="0"/>
              <w:spacing w:line="360" w:lineRule="auto"/>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45" w:type="dxa"/>
            <w:vAlign w:val="center"/>
          </w:tcPr>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w:t>
            </w:r>
          </w:p>
        </w:tc>
        <w:tc>
          <w:tcPr>
            <w:tcW w:w="1692" w:type="dxa"/>
            <w:vAlign w:val="center"/>
          </w:tcPr>
          <w:p>
            <w:pPr>
              <w:pStyle w:val="25"/>
              <w:snapToGrid w:val="0"/>
              <w:spacing w:line="360" w:lineRule="auto"/>
              <w:rPr>
                <w:rFonts w:hint="eastAsia" w:ascii="仿宋" w:hAnsi="仿宋" w:eastAsia="仿宋" w:cs="仿宋"/>
                <w:color w:val="auto"/>
                <w:highlight w:val="none"/>
              </w:rPr>
            </w:pPr>
          </w:p>
        </w:tc>
        <w:tc>
          <w:tcPr>
            <w:tcW w:w="1800" w:type="dxa"/>
            <w:vAlign w:val="center"/>
          </w:tcPr>
          <w:p>
            <w:pPr>
              <w:pStyle w:val="25"/>
              <w:snapToGrid w:val="0"/>
              <w:spacing w:line="360" w:lineRule="auto"/>
              <w:rPr>
                <w:rFonts w:hint="eastAsia" w:ascii="仿宋" w:hAnsi="仿宋" w:eastAsia="仿宋" w:cs="仿宋"/>
                <w:color w:val="auto"/>
                <w:highlight w:val="none"/>
              </w:rPr>
            </w:pPr>
          </w:p>
        </w:tc>
        <w:tc>
          <w:tcPr>
            <w:tcW w:w="1758" w:type="dxa"/>
            <w:vAlign w:val="center"/>
          </w:tcPr>
          <w:p>
            <w:pPr>
              <w:pStyle w:val="25"/>
              <w:snapToGrid w:val="0"/>
              <w:spacing w:line="360" w:lineRule="auto"/>
              <w:rPr>
                <w:rFonts w:hint="eastAsia" w:ascii="仿宋" w:hAnsi="仿宋" w:eastAsia="仿宋" w:cs="仿宋"/>
                <w:color w:val="auto"/>
                <w:highlight w:val="none"/>
              </w:rPr>
            </w:pPr>
          </w:p>
        </w:tc>
        <w:tc>
          <w:tcPr>
            <w:tcW w:w="762" w:type="dxa"/>
            <w:vAlign w:val="center"/>
          </w:tcPr>
          <w:p>
            <w:pPr>
              <w:pStyle w:val="25"/>
              <w:snapToGrid w:val="0"/>
              <w:spacing w:line="360" w:lineRule="auto"/>
              <w:rPr>
                <w:rFonts w:hint="eastAsia" w:ascii="仿宋" w:hAnsi="仿宋" w:eastAsia="仿宋" w:cs="仿宋"/>
                <w:color w:val="auto"/>
                <w:highlight w:val="none"/>
              </w:rPr>
            </w:pPr>
          </w:p>
        </w:tc>
        <w:tc>
          <w:tcPr>
            <w:tcW w:w="1867" w:type="dxa"/>
            <w:vAlign w:val="center"/>
          </w:tcPr>
          <w:p>
            <w:pPr>
              <w:pStyle w:val="25"/>
              <w:snapToGrid w:val="0"/>
              <w:spacing w:line="360" w:lineRule="auto"/>
              <w:rPr>
                <w:rFonts w:hint="eastAsia" w:ascii="仿宋" w:hAnsi="仿宋" w:eastAsia="仿宋" w:cs="仿宋"/>
                <w:color w:val="auto"/>
                <w:highlight w:val="none"/>
              </w:rPr>
            </w:pPr>
          </w:p>
        </w:tc>
      </w:tr>
    </w:tbl>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三、技术资料</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1.乙方应按交易文件规定的时间向甲方提供有关技术资料。</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四、知识产权</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乙方应保证提供服务过程中不会侵犯任何第三方的知识产权。</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五、履约保证金</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乙方交纳人民币元作为本合同的履约保证金。</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六、转包或分包</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1.本合同范围的服务，应由乙方直接供应，不得转让他人供应；</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2.除非得到甲方的书面同意，乙方不得将本合同范围的服务全部或部分分包给他人供应；</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3.如有转让和未经甲方同意的分包行为，甲方有权解除合同，没收履约保证金并追究乙方的违约责任。</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七、服务质量保证期</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1.服务质量保证期年。（自验收合格之日起计）</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八、合同履行时间、履行方式及履行地点</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1.履行时间：</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2.履行方式：</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3.履行地点：</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九、款项支付</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1.付款方式：</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2.合同履行完毕，需方根据合同进行验收，验收合格后供应商按财政结算要求办理货款结算手续。</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十、税费</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本合同执行中相关的一切税费均由乙方负担。</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十一、质量保证及后续服务</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1.乙方应按交易文件规定向甲方提供服务。</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2.乙方提供的服务成果在服务质量保证期内发生故障，乙方应负责免费提供后续服务。对达不到要求者，根据实际情况，经双方协商，可按以下办法处理：</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⑴重做：由乙方承担所发生的全部费用。</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⑵贬值处理：由甲乙双方合议定价。</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⑶解除合同。</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3.如在使用过程中发生问题，乙方在接到甲方通知后在1小时内到达甲方现场。</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4.在服务质量保证期内，乙方应对出现的质量及安全问题负责处理解决并承担一切费用。</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十二、违约责任</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1.甲方无正当理由拒绝接收服务的，甲方向乙方偿付合同款项百分之五作为违约金。</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2.甲方无故逾期验收和办理款项支付手续的，甲方应按逾期付款总额每日万分之五向乙方支付违约金。</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3.乙方未能如期提供服务的，每日向甲方支付合同款项的千分之六作为违约金。乙方超过约定日期10个工作日仍不能提供服务的，甲方可解除本合同，不予退还履约保证金，如造成甲方损失超过履约保证金的，超出部分由乙方继续承担赔偿责任。</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4.供方在服务项目验收合格之日起保修期内违反本合同有关承诺保证的，损失由乙方承担赔偿。</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5.如发现乙方违反招投标文件和合同的有关规定，甲方有权根据约定和《杭州市政府采购供应商合同履行和售后服务考核暂行办法》，对乙方进行处罚，并有权提前终止合同。</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十三、争议的解决</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因本合同引起的或与本合同有关的任何争议，合同双方应首先通过协商解决，达成书面协议，如协商不成，可选择下列第种方式解决。</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（1）提请杭州仲裁委员会按照该会仲裁规则进行仲裁，仲裁裁决是终局的，对合同双方均有约束力。</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（2）向有管辖权的人民法院提起诉讼。</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十四、合同生效</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1.中标方持中标通知书作为与需方签订合同的凭证。</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2.本合同经需、供双方法定代表人或其授权委托人签字并加盖单位公章后生效。</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需方（盖章）：供方（盖章）：</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地址：地址：</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法定代表人（或委托代理人）签名：法定代表人（或委托代理人）签名：</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联系电话：联系电话：</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邮政编码：邮政编码：</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开户银行：开户银行：</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帐号：帐号：</w:t>
      </w:r>
    </w:p>
    <w:p>
      <w:pPr>
        <w:pStyle w:val="4"/>
        <w:rPr>
          <w:rFonts w:hint="eastAsia" w:ascii="仿宋" w:hAnsi="仿宋" w:eastAsia="仿宋" w:cs="仿宋"/>
          <w:color w:val="auto"/>
          <w:highlight w:val="none"/>
        </w:rPr>
      </w:pPr>
    </w:p>
    <w:p>
      <w:pPr>
        <w:pStyle w:val="4"/>
        <w:rPr>
          <w:rFonts w:hint="eastAsia" w:ascii="仿宋" w:hAnsi="仿宋" w:eastAsia="仿宋" w:cs="仿宋"/>
          <w:color w:val="auto"/>
          <w:highlight w:val="none"/>
        </w:rPr>
      </w:pPr>
      <w:r>
        <w:rPr>
          <w:rFonts w:hint="eastAsia" w:ascii="仿宋" w:hAnsi="仿宋" w:eastAsia="仿宋" w:cs="仿宋"/>
          <w:color w:val="auto"/>
          <w:highlight w:val="none"/>
        </w:rPr>
        <w:t>第六部分</w:t>
      </w:r>
      <w:bookmarkEnd w:id="430"/>
      <w:bookmarkEnd w:id="431"/>
      <w:r>
        <w:rPr>
          <w:rFonts w:hint="eastAsia" w:ascii="仿宋" w:hAnsi="仿宋" w:eastAsia="仿宋" w:cs="仿宋"/>
          <w:color w:val="auto"/>
          <w:highlight w:val="none"/>
        </w:rPr>
        <w:t>应提交的有关格式范例</w:t>
      </w:r>
    </w:p>
    <w:p>
      <w:pPr>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供应商按照以下格式编制投标文件，并将资格文件、报价文件、商务技术文件分别装订成册。</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rPr>
          <w:rFonts w:hint="eastAsia" w:ascii="仿宋" w:hAnsi="仿宋" w:eastAsia="仿宋" w:cs="仿宋"/>
          <w:color w:val="auto"/>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br w:type="page"/>
      </w:r>
      <w:r>
        <w:rPr>
          <w:rFonts w:hint="eastAsia" w:ascii="仿宋" w:hAnsi="仿宋" w:eastAsia="仿宋" w:cs="仿宋"/>
          <w:b/>
          <w:color w:val="auto"/>
          <w:kern w:val="0"/>
          <w:sz w:val="32"/>
          <w:szCs w:val="32"/>
          <w:highlight w:val="none"/>
        </w:rPr>
        <w:t>一、符合参加政府采购活动应当具备的一般条件的承诺函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我方参与XXX采购项目【交易编号：XXX】政府采购活动，郑重承诺：</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（2）具有良好的商业信誉和健全的财务会计制度；</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（三）我方不存在以下情况：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供应商名称(电子签章)：</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lang w:val="zh-CN"/>
        </w:rPr>
        <w:t>月日</w:t>
      </w:r>
    </w:p>
    <w:p>
      <w:pPr>
        <w:spacing w:line="360" w:lineRule="auto"/>
        <w:jc w:val="center"/>
        <w:rPr>
          <w:rFonts w:hint="eastAsia" w:ascii="仿宋" w:hAnsi="仿宋" w:eastAsia="仿宋" w:cs="仿宋"/>
          <w:b/>
          <w:color w:val="auto"/>
          <w:sz w:val="30"/>
          <w:szCs w:val="30"/>
          <w:highlight w:val="none"/>
        </w:rPr>
      </w:pPr>
    </w:p>
    <w:p>
      <w:pPr>
        <w:spacing w:line="360" w:lineRule="auto"/>
        <w:jc w:val="center"/>
        <w:rPr>
          <w:rFonts w:hint="eastAsia" w:ascii="仿宋" w:hAnsi="仿宋" w:eastAsia="仿宋" w:cs="仿宋"/>
          <w:b/>
          <w:color w:val="auto"/>
          <w:sz w:val="30"/>
          <w:szCs w:val="30"/>
          <w:highlight w:val="none"/>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（根据交易公告本项目的特定资格要求提供相应的材料；未要求的，无需提供）</w:t>
      </w:r>
    </w:p>
    <w:p>
      <w:pPr>
        <w:pStyle w:val="73"/>
        <w:snapToGrid w:val="0"/>
        <w:spacing w:before="50" w:after="50"/>
        <w:ind w:left="360" w:firstLine="0" w:firstLineChars="0"/>
        <w:rPr>
          <w:rFonts w:hint="eastAsia" w:ascii="仿宋" w:hAnsi="仿宋" w:eastAsia="仿宋" w:cs="仿宋"/>
          <w:b/>
          <w:color w:val="auto"/>
          <w:highlight w:val="none"/>
        </w:rPr>
      </w:pPr>
    </w:p>
    <w:p>
      <w:pPr>
        <w:spacing w:line="360" w:lineRule="auto"/>
        <w:jc w:val="center"/>
        <w:rPr>
          <w:rFonts w:hint="eastAsia" w:ascii="仿宋" w:hAnsi="仿宋" w:eastAsia="仿宋" w:cs="仿宋"/>
          <w:b/>
          <w:color w:val="auto"/>
          <w:sz w:val="28"/>
          <w:szCs w:val="32"/>
          <w:highlight w:val="none"/>
        </w:rPr>
      </w:pPr>
    </w:p>
    <w:p>
      <w:pPr>
        <w:snapToGrid w:val="0"/>
        <w:spacing w:line="360" w:lineRule="auto"/>
        <w:ind w:firstLine="2891" w:firstLineChars="900"/>
        <w:rPr>
          <w:rFonts w:hint="eastAsia" w:ascii="仿宋" w:hAnsi="仿宋" w:eastAsia="仿宋" w:cs="仿宋"/>
          <w:b/>
          <w:color w:val="auto"/>
          <w:kern w:val="0"/>
          <w:sz w:val="36"/>
          <w:szCs w:val="36"/>
          <w:highlight w:val="none"/>
        </w:rPr>
      </w:pPr>
      <w:r>
        <w:rPr>
          <w:rFonts w:hint="eastAsia" w:ascii="仿宋" w:hAnsi="仿宋" w:eastAsia="仿宋" w:cs="仿宋"/>
          <w:b/>
          <w:bCs/>
          <w:color w:val="auto"/>
          <w:sz w:val="32"/>
          <w:szCs w:val="32"/>
          <w:highlight w:val="none"/>
        </w:rPr>
        <w:br w:type="page"/>
      </w:r>
      <w:r>
        <w:rPr>
          <w:rFonts w:hint="eastAsia" w:ascii="仿宋" w:hAnsi="仿宋" w:eastAsia="仿宋" w:cs="仿宋"/>
          <w:color w:val="auto"/>
          <w:sz w:val="36"/>
          <w:szCs w:val="36"/>
          <w:highlight w:val="none"/>
          <w:lang w:val="zh-CN"/>
        </w:rPr>
        <w:t>▲</w:t>
      </w: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outlineLvl w:val="0"/>
        <w:rPr>
          <w:rFonts w:hint="eastAsia" w:ascii="仿宋" w:hAnsi="仿宋" w:eastAsia="仿宋" w:cs="仿宋"/>
          <w:color w:val="auto"/>
          <w:sz w:val="24"/>
          <w:highlight w:val="none"/>
        </w:rPr>
        <w:sectPr>
          <w:headerReference r:id="rId12" w:type="first"/>
          <w:footerReference r:id="rId15" w:type="first"/>
          <w:headerReference r:id="rId10" w:type="default"/>
          <w:footerReference r:id="rId13" w:type="default"/>
          <w:headerReference r:id="rId11" w:type="even"/>
          <w:footerReference r:id="rId14" w:type="even"/>
          <w:pgSz w:w="11906" w:h="16838"/>
          <w:pgMar w:top="1247" w:right="1418" w:bottom="1276" w:left="1418" w:header="851" w:footer="992" w:gutter="0"/>
          <w:cols w:space="720" w:num="1"/>
          <w:titlePg/>
          <w:docGrid w:linePitch="312" w:charSpace="0"/>
        </w:sectPr>
      </w:pPr>
      <w:r>
        <w:rPr>
          <w:rFonts w:hint="eastAsia" w:ascii="仿宋" w:hAnsi="仿宋" w:eastAsia="仿宋" w:cs="仿宋"/>
          <w:color w:val="auto"/>
          <w:kern w:val="0"/>
          <w:sz w:val="24"/>
          <w:highlight w:val="none"/>
        </w:rPr>
        <w:t>投标（开标）一览表…………………………………………（页码）</w:t>
      </w:r>
    </w:p>
    <w:p>
      <w:pPr>
        <w:snapToGrid w:val="0"/>
        <w:spacing w:line="360" w:lineRule="auto"/>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pStyle w:val="597"/>
        <w:keepNext w:val="0"/>
        <w:pageBreakBefore w:val="0"/>
        <w:tabs>
          <w:tab w:val="clear" w:pos="720"/>
        </w:tabs>
        <w:snapToGrid w:val="0"/>
        <w:ind w:firstLine="640"/>
        <w:outlineLvl w:val="9"/>
        <w:rPr>
          <w:rFonts w:hint="eastAsia" w:ascii="仿宋" w:hAnsi="仿宋" w:eastAsia="仿宋" w:cs="仿宋"/>
          <w:color w:val="auto"/>
          <w:kern w:val="2"/>
          <w:sz w:val="32"/>
          <w:szCs w:val="32"/>
          <w:highlight w:val="none"/>
        </w:rPr>
        <w:sectPr>
          <w:pgSz w:w="11906" w:h="16838"/>
          <w:pgMar w:top="1247" w:right="1418" w:bottom="1276" w:left="1418" w:header="851" w:footer="992" w:gutter="0"/>
          <w:cols w:space="720" w:num="1"/>
          <w:titlePg/>
          <w:docGrid w:linePitch="312" w:charSpace="0"/>
        </w:sectPr>
      </w:pPr>
    </w:p>
    <w:p>
      <w:pPr>
        <w:pStyle w:val="597"/>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1"/>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417"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843" w:type="dxa"/>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3118"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规格型号（或具体服务）</w:t>
            </w:r>
          </w:p>
        </w:tc>
        <w:tc>
          <w:tcPr>
            <w:tcW w:w="993"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559"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1984"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总价</w:t>
            </w:r>
          </w:p>
        </w:tc>
        <w:tc>
          <w:tcPr>
            <w:tcW w:w="3119" w:type="dxa"/>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质保或服务年限</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7655" w:type="dxa"/>
            <w:gridSpan w:val="4"/>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7655" w:type="dxa"/>
            <w:gridSpan w:val="4"/>
            <w:vAlign w:val="center"/>
          </w:tcPr>
          <w:p>
            <w:pPr>
              <w:spacing w:line="360" w:lineRule="auto"/>
              <w:jc w:val="center"/>
              <w:rPr>
                <w:rFonts w:hint="eastAsia" w:ascii="仿宋" w:hAnsi="仿宋" w:eastAsia="仿宋" w:cs="仿宋"/>
                <w:color w:val="auto"/>
                <w:sz w:val="24"/>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1、投标人需按本表格式填写，不得自行更改。</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；采购内容未包含在《开标一览表（报价表）》名称栏中，投标人不能作出合理解释的，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5、</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kern w:val="0"/>
          <w:sz w:val="24"/>
          <w:highlight w:val="none"/>
        </w:rPr>
      </w:pPr>
    </w:p>
    <w:p>
      <w:pPr>
        <w:jc w:val="center"/>
        <w:rPr>
          <w:rFonts w:hint="eastAsia" w:ascii="仿宋" w:hAnsi="仿宋" w:eastAsia="仿宋" w:cs="仿宋"/>
          <w:b/>
          <w:color w:val="auto"/>
          <w:kern w:val="0"/>
          <w:sz w:val="36"/>
          <w:szCs w:val="36"/>
          <w:highlight w:val="none"/>
        </w:rPr>
        <w:sectPr>
          <w:headerReference r:id="rId16" w:type="default"/>
          <w:footerReference r:id="rId17" w:type="default"/>
          <w:pgSz w:w="16838" w:h="11906" w:orient="landscape"/>
          <w:pgMar w:top="1418" w:right="1247" w:bottom="1418" w:left="1276" w:header="851" w:footer="992" w:gutter="0"/>
          <w:cols w:space="720" w:num="1"/>
        </w:sectPr>
      </w:pPr>
    </w:p>
    <w:p>
      <w:pPr>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（3）符合性审查资料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（4）评标标准相应的商务技术资料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（5）商务技术偏离表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pacing w:line="360" w:lineRule="auto"/>
        <w:rPr>
          <w:rFonts w:hint="eastAsia" w:ascii="仿宋" w:hAnsi="仿宋" w:eastAsia="仿宋" w:cs="仿宋"/>
          <w:b/>
          <w:bCs/>
          <w:color w:val="auto"/>
          <w:sz w:val="24"/>
          <w:highlight w:val="none"/>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lang w:val="zh-CN"/>
        </w:rPr>
        <w:br w:type="page"/>
      </w: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（采购人名称）、（采购代理机构名称）：</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我方参加你方组织的XXX采购项目【交易编号：XXXXXX】交易的有关活动，并对此项目进行投标。为此：</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w:t>
      </w:r>
    </w:p>
    <w:p>
      <w:pPr>
        <w:snapToGrid w:val="0"/>
        <w:spacing w:line="40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2商务技术</w:t>
      </w:r>
      <w:r>
        <w:rPr>
          <w:rFonts w:hint="eastAsia" w:ascii="仿宋" w:hAnsi="仿宋" w:eastAsia="仿宋" w:cs="仿宋"/>
          <w:color w:val="auto"/>
          <w:sz w:val="24"/>
          <w:highlight w:val="none"/>
          <w:lang w:val="zh-CN"/>
        </w:rPr>
        <w:t>文件：</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2.2.3符合性审查资料；</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2.2.4评标标准相应的商务技术资料；</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2.2.5商务技术偏离表；</w:t>
      </w:r>
    </w:p>
    <w:p>
      <w:pPr>
        <w:snapToGrid w:val="0"/>
        <w:spacing w:line="40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zh-CN"/>
        </w:rPr>
        <w:t>政府采购供应商廉洁自律承诺书；</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3、我方承诺除商务技术偏离表列出的偏离外，我方响应交易文件的全部要求。</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4.1在收到中标通知书后，在中标通知书规定的期限内与你方签订合同；</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4.2在签订合同时不向你方提出附加条件；</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4.3按照交易文件要求提交履约保证金；</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4.4在合同约定的期限内完成合同规定的全部义务。</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p>
    <w:p>
      <w:pPr>
        <w:spacing w:line="400" w:lineRule="exact"/>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供应商名称（电子签章）：</w:t>
      </w:r>
    </w:p>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日期：年月日</w:t>
      </w:r>
    </w:p>
    <w:p>
      <w:pPr>
        <w:widowControl/>
        <w:adjustRightInd/>
        <w:jc w:val="left"/>
        <w:rPr>
          <w:rFonts w:hint="eastAsia" w:ascii="仿宋" w:hAnsi="仿宋" w:eastAsia="仿宋" w:cs="仿宋"/>
          <w:color w:val="auto"/>
          <w:kern w:val="0"/>
          <w:sz w:val="24"/>
          <w:highlight w:val="none"/>
          <w:u w:val="single"/>
          <w:lang w:val="zh-CN"/>
        </w:rPr>
      </w:pPr>
      <w:r>
        <w:rPr>
          <w:rFonts w:hint="eastAsia" w:ascii="仿宋" w:hAnsi="仿宋" w:eastAsia="仿宋" w:cs="仿宋"/>
          <w:color w:val="auto"/>
          <w:kern w:val="0"/>
          <w:sz w:val="24"/>
          <w:highlight w:val="none"/>
          <w:u w:val="single"/>
          <w:lang w:val="zh-CN"/>
        </w:rPr>
        <w:br w:type="page"/>
      </w: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w:t>
      </w: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身份证明</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（采购人名称）、（采购代理机构名称）</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委托（姓名）为我方代理人（身份证号码：，手机：），以我方名义处理</w:t>
      </w:r>
      <w:r>
        <w:rPr>
          <w:rFonts w:hint="eastAsia" w:ascii="仿宋" w:hAnsi="仿宋" w:eastAsia="仿宋" w:cs="仿宋"/>
          <w:color w:val="auto"/>
          <w:sz w:val="24"/>
          <w:highlight w:val="none"/>
        </w:rPr>
        <w:t>杭州市XXX采购项目【交易编号：XXXXXX】</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自年月日起至年月日止。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供应商名称(电子签章)：</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签发日期：年月日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的身份证明（适用于法定代表人、单位负责人或者自然人本人代表供应商参加投标）</w:t>
      </w:r>
    </w:p>
    <w:p>
      <w:pPr>
        <w:pStyle w:val="618"/>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18"/>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正面：反面：</w:t>
            </w:r>
          </w:p>
          <w:p>
            <w:pPr>
              <w:pStyle w:val="618"/>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营业执照复印件：</w:t>
      </w:r>
    </w:p>
    <w:p>
      <w:pPr>
        <w:snapToGrid w:val="0"/>
        <w:spacing w:line="360" w:lineRule="auto"/>
        <w:rPr>
          <w:rFonts w:hint="eastAsia" w:ascii="仿宋" w:hAnsi="仿宋" w:eastAsia="仿宋" w:cs="仿宋"/>
          <w:color w:val="auto"/>
          <w:kern w:val="0"/>
          <w:sz w:val="24"/>
          <w:highlight w:val="none"/>
          <w:lang w:val="zh-CN"/>
        </w:rPr>
      </w:pPr>
    </w:p>
    <w:p>
      <w:pPr>
        <w:snapToGrid w:val="0"/>
        <w:spacing w:line="360" w:lineRule="auto"/>
        <w:rPr>
          <w:rFonts w:hint="eastAsia" w:ascii="仿宋" w:hAnsi="仿宋" w:eastAsia="仿宋" w:cs="仿宋"/>
          <w:color w:val="auto"/>
          <w:kern w:val="0"/>
          <w:sz w:val="24"/>
          <w:highlight w:val="none"/>
          <w:lang w:val="zh-CN"/>
        </w:rPr>
      </w:pPr>
    </w:p>
    <w:p>
      <w:pPr>
        <w:snapToGrid w:val="0"/>
        <w:spacing w:line="360" w:lineRule="auto"/>
        <w:rPr>
          <w:rFonts w:hint="eastAsia" w:ascii="仿宋" w:hAnsi="仿宋" w:eastAsia="仿宋" w:cs="仿宋"/>
          <w:color w:val="auto"/>
          <w:kern w:val="0"/>
          <w:sz w:val="24"/>
          <w:highlight w:val="none"/>
          <w:lang w:val="zh-CN"/>
        </w:rPr>
      </w:pPr>
    </w:p>
    <w:p>
      <w:pPr>
        <w:snapToGrid w:val="0"/>
        <w:spacing w:line="360" w:lineRule="auto"/>
        <w:rPr>
          <w:rFonts w:hint="eastAsia" w:ascii="仿宋" w:hAnsi="仿宋" w:eastAsia="仿宋" w:cs="仿宋"/>
          <w:color w:val="auto"/>
          <w:kern w:val="0"/>
          <w:sz w:val="24"/>
          <w:highlight w:val="none"/>
          <w:lang w:val="zh-CN"/>
        </w:rPr>
      </w:pPr>
    </w:p>
    <w:p>
      <w:pPr>
        <w:snapToGrid w:val="0"/>
        <w:spacing w:line="360" w:lineRule="auto"/>
        <w:rPr>
          <w:rFonts w:hint="eastAsia" w:ascii="仿宋" w:hAnsi="仿宋" w:eastAsia="仿宋" w:cs="仿宋"/>
          <w:color w:val="auto"/>
          <w:kern w:val="0"/>
          <w:sz w:val="24"/>
          <w:highlight w:val="none"/>
          <w:lang w:val="zh-CN"/>
        </w:rPr>
      </w:pPr>
    </w:p>
    <w:p>
      <w:pPr>
        <w:snapToGrid w:val="0"/>
        <w:spacing w:line="360" w:lineRule="auto"/>
        <w:rPr>
          <w:rFonts w:hint="eastAsia" w:ascii="仿宋" w:hAnsi="仿宋" w:eastAsia="仿宋" w:cs="仿宋"/>
          <w:color w:val="auto"/>
          <w:kern w:val="0"/>
          <w:sz w:val="24"/>
          <w:highlight w:val="none"/>
          <w:lang w:val="zh-CN"/>
        </w:rPr>
      </w:pPr>
    </w:p>
    <w:p>
      <w:pPr>
        <w:snapToGrid w:val="0"/>
        <w:spacing w:line="360" w:lineRule="auto"/>
        <w:rPr>
          <w:rFonts w:hint="eastAsia" w:ascii="仿宋" w:hAnsi="仿宋" w:eastAsia="仿宋" w:cs="仿宋"/>
          <w:color w:val="auto"/>
          <w:kern w:val="0"/>
          <w:sz w:val="24"/>
          <w:highlight w:val="none"/>
          <w:lang w:val="zh-CN"/>
        </w:rPr>
      </w:pPr>
    </w:p>
    <w:p>
      <w:pPr>
        <w:snapToGrid w:val="0"/>
        <w:spacing w:line="360" w:lineRule="auto"/>
        <w:rPr>
          <w:rFonts w:hint="eastAsia" w:ascii="仿宋" w:hAnsi="仿宋" w:eastAsia="仿宋" w:cs="仿宋"/>
          <w:color w:val="auto"/>
          <w:kern w:val="0"/>
          <w:sz w:val="24"/>
          <w:highlight w:val="none"/>
          <w:lang w:val="zh-CN"/>
        </w:rPr>
      </w:pPr>
    </w:p>
    <w:p>
      <w:pPr>
        <w:snapToGrid w:val="0"/>
        <w:spacing w:line="360" w:lineRule="auto"/>
        <w:rPr>
          <w:rFonts w:hint="eastAsia" w:ascii="仿宋" w:hAnsi="仿宋" w:eastAsia="仿宋" w:cs="仿宋"/>
          <w:color w:val="auto"/>
          <w:kern w:val="0"/>
          <w:sz w:val="24"/>
          <w:highlight w:val="none"/>
          <w:lang w:val="zh-CN"/>
        </w:rPr>
      </w:pP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供应商名称(电子签章)：</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日期：年月</w:t>
      </w: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三、符合性审查资料索引表及具体内容</w:t>
      </w: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（一）符合性审查资料索引表</w:t>
      </w:r>
    </w:p>
    <w:tbl>
      <w:tblPr>
        <w:tblStyle w:val="61"/>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188"/>
        <w:gridCol w:w="235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518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354"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5188"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不存在如下情形：投标文件未按照交易文件要求签署、盖章。</w:t>
            </w:r>
          </w:p>
        </w:tc>
        <w:tc>
          <w:tcPr>
            <w:tcW w:w="2354"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投标文件的组成部分中需要使用电子签章或者签字盖章处</w:t>
            </w:r>
          </w:p>
        </w:tc>
        <w:tc>
          <w:tcPr>
            <w:tcW w:w="1418" w:type="dxa"/>
          </w:tcPr>
          <w:p>
            <w:pPr>
              <w:jc w:val="cente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jc w:val="center"/>
              <w:rPr>
                <w:rFonts w:hint="eastAsia" w:ascii="仿宋" w:hAnsi="仿宋" w:eastAsia="仿宋" w:cs="仿宋"/>
                <w:color w:val="auto"/>
                <w:highlight w:val="none"/>
              </w:rPr>
            </w:pPr>
            <w:r>
              <w:rPr>
                <w:rFonts w:hint="eastAsia" w:ascii="仿宋" w:hAnsi="仿宋" w:eastAsia="仿宋" w:cs="仿宋"/>
                <w:color w:val="auto"/>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5188"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不存在如下情形：采购人拟采购的产品属于政府强制采购的节能产品品目清单范围的，供应商未按交易文件要求提供国家确定的认证机构出具的、处于有效期之内的节能产品认证证书、环境标志产品认证证书。</w:t>
            </w:r>
          </w:p>
        </w:tc>
        <w:tc>
          <w:tcPr>
            <w:tcW w:w="2354"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节能产品认证证书、环境标志产品认证证书（交易文件未要求的，无需提供）</w:t>
            </w:r>
          </w:p>
        </w:tc>
        <w:tc>
          <w:tcPr>
            <w:tcW w:w="1418" w:type="dxa"/>
          </w:tcPr>
          <w:p>
            <w:pPr>
              <w:jc w:val="cente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rPr>
            </w:pP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pStyle w:val="5"/>
              <w:numPr>
                <w:ilvl w:val="0"/>
                <w:numId w:val="0"/>
              </w:numPr>
              <w:ind w:left="432"/>
              <w:jc w:val="center"/>
              <w:rPr>
                <w:rFonts w:hint="eastAsia" w:ascii="仿宋" w:hAnsi="仿宋" w:eastAsia="仿宋" w:cs="仿宋"/>
                <w:color w:val="auto"/>
                <w:highlight w:val="none"/>
                <w:lang w:val="en-US"/>
              </w:rPr>
            </w:pPr>
            <w:r>
              <w:rPr>
                <w:rFonts w:hint="eastAsia" w:ascii="仿宋" w:hAnsi="仿宋" w:eastAsia="仿宋" w:cs="仿宋"/>
                <w:b w:val="0"/>
                <w:bCs w:val="0"/>
                <w:color w:val="auto"/>
                <w:sz w:val="24"/>
                <w:szCs w:val="24"/>
                <w:highlight w:val="none"/>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5188"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不存在如下情形：投标文件中承诺的投标有效期少于交易文件中载明的投标有效期。</w:t>
            </w:r>
          </w:p>
        </w:tc>
        <w:tc>
          <w:tcPr>
            <w:tcW w:w="2354"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jc w:val="cente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5188"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不存在如下情形：投标文件不满足交易文件的其它实质性要求。</w:t>
            </w:r>
          </w:p>
        </w:tc>
        <w:tc>
          <w:tcPr>
            <w:tcW w:w="2354"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交易文件其它实质性要求相应的材料（交易文件未要求的，无需提供）</w:t>
            </w:r>
          </w:p>
        </w:tc>
        <w:tc>
          <w:tcPr>
            <w:tcW w:w="1418" w:type="dxa"/>
          </w:tcPr>
          <w:p>
            <w:pPr>
              <w:jc w:val="cente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见投标文件第页</w:t>
            </w:r>
          </w:p>
        </w:tc>
      </w:tr>
    </w:tbl>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（二）符合性审查资料具体内容</w:t>
      </w:r>
    </w:p>
    <w:p>
      <w:pPr>
        <w:rPr>
          <w:rFonts w:hint="eastAsia" w:ascii="仿宋" w:hAnsi="仿宋" w:eastAsia="仿宋" w:cs="仿宋"/>
          <w:b/>
          <w:color w:val="auto"/>
          <w:kern w:val="0"/>
          <w:sz w:val="32"/>
          <w:szCs w:val="32"/>
          <w:highlight w:val="none"/>
        </w:rPr>
      </w:pPr>
      <w:r>
        <w:rPr>
          <w:rFonts w:hint="eastAsia" w:ascii="仿宋" w:hAnsi="仿宋" w:eastAsia="仿宋" w:cs="仿宋"/>
          <w:color w:val="auto"/>
          <w:sz w:val="24"/>
          <w:highlight w:val="none"/>
        </w:rPr>
        <w:t>1、投标文件的组成部分中需要使用电子签章或者签字盖章处（详见投标文件第页）</w:t>
      </w:r>
    </w:p>
    <w:p>
      <w:pP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2、节能产品认证证书</w:t>
      </w:r>
      <w:r>
        <w:rPr>
          <w:rFonts w:hint="eastAsia" w:ascii="仿宋" w:hAnsi="仿宋" w:eastAsia="仿宋" w:cs="仿宋"/>
          <w:color w:val="auto"/>
          <w:sz w:val="24"/>
          <w:highlight w:val="none"/>
        </w:rPr>
        <w:t>、环境标志产品认证证书</w:t>
      </w:r>
      <w:r>
        <w:rPr>
          <w:rFonts w:hint="eastAsia" w:ascii="仿宋" w:hAnsi="仿宋" w:eastAsia="仿宋" w:cs="仿宋"/>
          <w:color w:val="auto"/>
          <w:kern w:val="0"/>
          <w:sz w:val="24"/>
          <w:highlight w:val="none"/>
        </w:rPr>
        <w:t>（交易文件未要求的，无需提供）</w:t>
      </w:r>
    </w:p>
    <w:p>
      <w:pP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w:t>
      </w:r>
      <w:r>
        <w:rPr>
          <w:rFonts w:hint="eastAsia" w:ascii="仿宋" w:hAnsi="仿宋" w:eastAsia="仿宋" w:cs="仿宋"/>
          <w:color w:val="auto"/>
          <w:sz w:val="24"/>
          <w:highlight w:val="none"/>
        </w:rPr>
        <w:t>投标函（详见投标文件第页）</w:t>
      </w:r>
    </w:p>
    <w:p>
      <w:pP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4、交易文件其它实质性要求相应的材料（交易文件未要求的，无需提供）</w:t>
      </w:r>
    </w:p>
    <w:p>
      <w:pPr>
        <w:rPr>
          <w:rFonts w:hint="eastAsia" w:ascii="仿宋" w:hAnsi="仿宋" w:eastAsia="仿宋" w:cs="仿宋"/>
          <w:color w:val="auto"/>
          <w:highlight w:val="none"/>
        </w:rPr>
      </w:pPr>
    </w:p>
    <w:p>
      <w:pPr>
        <w:jc w:val="center"/>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numPr>
          <w:ilvl w:val="0"/>
          <w:numId w:val="8"/>
        </w:num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评标标准相应的商务技术资料</w:t>
      </w:r>
    </w:p>
    <w:p>
      <w:pPr>
        <w:pStyle w:val="42"/>
        <w:rPr>
          <w:rFonts w:hint="eastAsia" w:ascii="仿宋" w:hAnsi="仿宋" w:eastAsia="仿宋" w:cs="仿宋"/>
          <w:color w:val="auto"/>
          <w:highlight w:val="none"/>
        </w:rPr>
      </w:pP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（按交易文件第四部分评标办法前附表中“投标文件中评标标准相应的商务技术资料目录”提供资料）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numPr>
          <w:ilvl w:val="0"/>
          <w:numId w:val="8"/>
        </w:num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商务技术偏离表</w:t>
      </w:r>
    </w:p>
    <w:p>
      <w:pPr>
        <w:pStyle w:val="42"/>
        <w:rPr>
          <w:rFonts w:hint="eastAsia" w:ascii="仿宋" w:hAnsi="仿宋" w:eastAsia="仿宋" w:cs="仿宋"/>
          <w:color w:val="auto"/>
          <w:highlight w:val="none"/>
        </w:rPr>
      </w:pPr>
    </w:p>
    <w:tbl>
      <w:tblPr>
        <w:tblStyle w:val="62"/>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交易文件章节及具体内容</w:t>
            </w:r>
          </w:p>
        </w:tc>
        <w:tc>
          <w:tcPr>
            <w:tcW w:w="354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1</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2</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9" w:type="dxa"/>
          </w:tcPr>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供应商保证：除商务技术偏离表列出的偏离外，供应商响应交易文件的全部要求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ind w:firstLine="2891" w:firstLineChars="900"/>
        <w:rPr>
          <w:rFonts w:hint="eastAsia" w:ascii="仿宋" w:hAnsi="仿宋" w:eastAsia="仿宋" w:cs="仿宋"/>
          <w:b/>
          <w:bCs/>
          <w:color w:val="auto"/>
          <w:sz w:val="32"/>
          <w:szCs w:val="32"/>
          <w:highlight w:val="none"/>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numPr>
          <w:ilvl w:val="0"/>
          <w:numId w:val="8"/>
        </w:num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政府采购供应商廉洁自律承诺书</w:t>
      </w:r>
    </w:p>
    <w:p>
      <w:pPr>
        <w:pStyle w:val="42"/>
        <w:rPr>
          <w:rFonts w:hint="eastAsia" w:ascii="仿宋" w:hAnsi="仿宋" w:eastAsia="仿宋" w:cs="仿宋"/>
          <w:color w:val="auto"/>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（采购人名称）、（采购代理机构名称）</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项目交易要求参加投标。在这次投标过程中和中标后，我们将严格遵守国家法律法规要求，并郑重承诺：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二、不为项目有关人员及部门报销应由你方单位或个人支付的费用；</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交易投标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等法律法规，诚实守信，合法经营，坚决抵制各种违法违纪行为。</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供应商名称（</w:t>
      </w:r>
      <w:r>
        <w:rPr>
          <w:rFonts w:hint="eastAsia" w:ascii="仿宋" w:hAnsi="仿宋" w:eastAsia="仿宋" w:cs="仿宋"/>
          <w:color w:val="auto"/>
          <w:sz w:val="24"/>
          <w:highlight w:val="none"/>
        </w:rPr>
        <w:t>电子签章</w:t>
      </w:r>
      <w:r>
        <w:rPr>
          <w:rFonts w:hint="eastAsia" w:ascii="仿宋" w:hAnsi="仿宋" w:eastAsia="仿宋" w:cs="仿宋"/>
          <w:color w:val="auto"/>
          <w:kern w:val="0"/>
          <w:sz w:val="24"/>
          <w:highlight w:val="none"/>
          <w:lang w:val="zh-CN"/>
        </w:rPr>
        <w:t>）：</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年月日</w:t>
      </w:r>
    </w:p>
    <w:p>
      <w:pPr>
        <w:numPr>
          <w:ilvl w:val="0"/>
          <w:numId w:val="9"/>
        </w:numPr>
        <w:spacing w:line="360" w:lineRule="auto"/>
        <w:jc w:val="center"/>
        <w:rPr>
          <w:rFonts w:hint="eastAsia" w:ascii="仿宋" w:hAnsi="仿宋" w:eastAsia="仿宋" w:cs="仿宋"/>
          <w:b/>
          <w:bCs/>
          <w:color w:val="auto"/>
          <w:kern w:val="0"/>
          <w:sz w:val="24"/>
          <w:highlight w:val="none"/>
        </w:rPr>
        <w:sectPr>
          <w:pgSz w:w="11906" w:h="16838"/>
          <w:pgMar w:top="1247" w:right="1418" w:bottom="1276" w:left="1418" w:header="851" w:footer="992" w:gutter="0"/>
          <w:cols w:space="720" w:num="1"/>
        </w:sectPr>
      </w:pPr>
    </w:p>
    <w:p>
      <w:pPr>
        <w:spacing w:line="360" w:lineRule="auto"/>
        <w:ind w:right="420"/>
        <w:rPr>
          <w:rFonts w:hint="eastAsia" w:ascii="仿宋" w:hAnsi="仿宋" w:eastAsia="仿宋" w:cs="仿宋"/>
          <w:b/>
          <w:color w:val="auto"/>
          <w:sz w:val="24"/>
          <w:highlight w:val="none"/>
        </w:rPr>
      </w:pPr>
    </w:p>
    <w:p>
      <w:pPr>
        <w:pStyle w:val="4"/>
        <w:rPr>
          <w:rFonts w:hint="eastAsia" w:ascii="仿宋" w:hAnsi="仿宋" w:eastAsia="仿宋" w:cs="仿宋"/>
          <w:color w:val="auto"/>
          <w:highlight w:val="none"/>
        </w:rPr>
      </w:pPr>
      <w:bookmarkStart w:id="432" w:name="_Toc465665161"/>
      <w:r>
        <w:rPr>
          <w:rFonts w:hint="eastAsia" w:ascii="仿宋" w:hAnsi="仿宋" w:eastAsia="仿宋" w:cs="仿宋"/>
          <w:color w:val="auto"/>
          <w:highlight w:val="none"/>
        </w:rPr>
        <w:t>附件</w:t>
      </w:r>
      <w:bookmarkEnd w:id="432"/>
    </w:p>
    <w:p>
      <w:pPr>
        <w:rPr>
          <w:rFonts w:hint="eastAsia" w:ascii="仿宋" w:hAnsi="仿宋" w:eastAsia="仿宋" w:cs="仿宋"/>
          <w:color w:val="auto"/>
          <w:highlight w:val="none"/>
        </w:rPr>
      </w:pPr>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地址：邮箱：</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联系人：联系电话：</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地址：邮编：</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质疑项目的编号：标项号：</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p>
    <w:p>
      <w:pPr>
        <w:snapToGrid w:val="0"/>
        <w:spacing w:line="360" w:lineRule="auto"/>
        <w:rPr>
          <w:rFonts w:hint="eastAsia" w:ascii="仿宋" w:hAnsi="仿宋" w:eastAsia="仿宋" w:cs="仿宋"/>
          <w:color w:val="auto"/>
          <w:sz w:val="24"/>
          <w:highlight w:val="none"/>
          <w:u w:val="dotted"/>
        </w:rPr>
      </w:pP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签字(签章)：公章：</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日期：</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地址：邮编：</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授权代表：联系电话</w:t>
      </w:r>
      <w:r>
        <w:rPr>
          <w:rFonts w:hint="eastAsia" w:ascii="仿宋" w:hAnsi="仿宋" w:eastAsia="仿宋" w:cs="仿宋"/>
          <w:color w:val="auto"/>
          <w:sz w:val="24"/>
          <w:highlight w:val="none"/>
          <w:u w:val="dotted"/>
        </w:rPr>
        <w:t>：</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地址：邮编：</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地址：邮编：</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联系人：联系电话：</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地址：邮编：</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联系人：联系电话：</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采购项目编号：包号：</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采购代理机构名称：</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是/否</w:t>
      </w:r>
      <w:r>
        <w:rPr>
          <w:rFonts w:hint="eastAsia" w:ascii="仿宋" w:hAnsi="仿宋" w:eastAsia="仿宋" w:cs="仿宋"/>
          <w:color w:val="auto"/>
          <w:sz w:val="24"/>
          <w:highlight w:val="none"/>
        </w:rPr>
        <w:t>公告期限：</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是/否</w:t>
      </w:r>
      <w:r>
        <w:rPr>
          <w:rFonts w:hint="eastAsia" w:ascii="仿宋" w:hAnsi="仿宋" w:eastAsia="仿宋" w:cs="仿宋"/>
          <w:color w:val="auto"/>
          <w:sz w:val="24"/>
          <w:highlight w:val="none"/>
        </w:rPr>
        <w:t>公告期限：</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投诉人于年月日,向提出质疑，质疑事项为：</w:t>
      </w:r>
    </w:p>
    <w:p>
      <w:pPr>
        <w:spacing w:line="360" w:lineRule="auto"/>
        <w:rPr>
          <w:rFonts w:hint="eastAsia" w:ascii="仿宋" w:hAnsi="仿宋" w:eastAsia="仿宋" w:cs="仿宋"/>
          <w:color w:val="auto"/>
          <w:sz w:val="24"/>
          <w:highlight w:val="none"/>
          <w:u w:val="dotted"/>
        </w:rPr>
      </w:pP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采购人/采购代理机构</w:t>
      </w:r>
      <w:r>
        <w:rPr>
          <w:rFonts w:hint="eastAsia" w:ascii="仿宋" w:hAnsi="仿宋" w:eastAsia="仿宋" w:cs="仿宋"/>
          <w:color w:val="auto"/>
          <w:sz w:val="24"/>
          <w:highlight w:val="none"/>
        </w:rPr>
        <w:t>于年月日,就质疑事项作出了答复/没有在法定期限内作出答复。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投诉事项1：</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p>
    <w:p>
      <w:pPr>
        <w:spacing w:line="360" w:lineRule="auto"/>
        <w:rPr>
          <w:rFonts w:hint="eastAsia" w:ascii="仿宋" w:hAnsi="仿宋" w:eastAsia="仿宋" w:cs="仿宋"/>
          <w:color w:val="auto"/>
          <w:sz w:val="24"/>
          <w:highlight w:val="none"/>
          <w:u w:val="dotted"/>
        </w:rPr>
      </w:pP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p>
    <w:p>
      <w:pPr>
        <w:spacing w:line="360" w:lineRule="auto"/>
        <w:rPr>
          <w:rFonts w:hint="eastAsia" w:ascii="仿宋" w:hAnsi="仿宋" w:eastAsia="仿宋" w:cs="仿宋"/>
          <w:color w:val="auto"/>
          <w:sz w:val="24"/>
          <w:highlight w:val="none"/>
          <w:u w:val="dotted"/>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签字(签章)：公章：</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日期：</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widowControl/>
        <w:adjustRightInd/>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p>
    <w:p>
      <w:pPr>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附件3质疑答复范本</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关于*****项目质疑的答复</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质疑项目名称：</w:t>
      </w:r>
      <w:r>
        <w:rPr>
          <w:rFonts w:hint="eastAsia" w:ascii="仿宋" w:hAnsi="仿宋" w:eastAsia="仿宋" w:cs="仿宋"/>
          <w:color w:val="auto"/>
          <w:sz w:val="24"/>
          <w:highlight w:val="none"/>
          <w:u w:val="dotted"/>
        </w:rPr>
        <w:t>***政府采购项目</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质疑项目编号：</w:t>
      </w:r>
      <w:r>
        <w:rPr>
          <w:rFonts w:hint="eastAsia" w:ascii="仿宋" w:hAnsi="仿宋" w:eastAsia="仿宋" w:cs="仿宋"/>
          <w:color w:val="auto"/>
          <w:sz w:val="24"/>
          <w:highlight w:val="none"/>
          <w:u w:val="dotted"/>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color w:val="auto"/>
          <w:sz w:val="24"/>
          <w:highlight w:val="none"/>
        </w:rPr>
        <w:t>本单位于月日收到质疑函，月日收到补充材料，答复内容如下。</w:t>
      </w:r>
    </w:p>
    <w:p>
      <w:pPr>
        <w:numPr>
          <w:ilvl w:val="0"/>
          <w:numId w:val="10"/>
        </w:numPr>
        <w:snapToGrid w:val="0"/>
        <w:spacing w:line="360" w:lineRule="auto"/>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质疑人</w:t>
      </w:r>
    </w:p>
    <w:p>
      <w:pPr>
        <w:snapToGrid w:val="0"/>
        <w:spacing w:line="360" w:lineRule="auto"/>
        <w:jc w:val="left"/>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p>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地址：邮编：</w:t>
      </w:r>
    </w:p>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联系人：联系电话：</w:t>
      </w:r>
      <w:r>
        <w:rPr>
          <w:rFonts w:hint="eastAsia" w:ascii="仿宋" w:hAnsi="仿宋" w:eastAsia="仿宋" w:cs="仿宋"/>
          <w:color w:val="auto"/>
          <w:sz w:val="24"/>
          <w:highlight w:val="none"/>
          <w:u w:val="dotted"/>
        </w:rPr>
        <w:t>/</w:t>
      </w:r>
    </w:p>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授权代表：联系电话：</w:t>
      </w:r>
    </w:p>
    <w:p>
      <w:pPr>
        <w:snapToGrid w:val="0"/>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地址：邮箱：</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二、项目采购人和代理机构</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采购人地址：</w:t>
      </w:r>
    </w:p>
    <w:p>
      <w:pPr>
        <w:snapToGrid w:val="0"/>
        <w:spacing w:line="360" w:lineRule="auto"/>
        <w:jc w:val="left"/>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质疑联系人：质疑联系方式：</w:t>
      </w:r>
      <w:r>
        <w:rPr>
          <w:rFonts w:hint="eastAsia" w:ascii="仿宋" w:hAnsi="仿宋" w:eastAsia="仿宋" w:cs="仿宋"/>
          <w:color w:val="auto"/>
          <w:sz w:val="24"/>
          <w:highlight w:val="none"/>
          <w:u w:val="dotted"/>
        </w:rPr>
        <w:t>邮箱：</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采购代理机构：</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采购代理机构地址：</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质疑联系人：质疑联系方式：</w:t>
      </w:r>
      <w:r>
        <w:rPr>
          <w:rFonts w:hint="eastAsia" w:ascii="仿宋" w:hAnsi="仿宋" w:eastAsia="仿宋" w:cs="仿宋"/>
          <w:color w:val="auto"/>
          <w:sz w:val="24"/>
          <w:highlight w:val="none"/>
          <w:u w:val="dotted"/>
        </w:rPr>
        <w:t>邮箱：</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质疑事项2：</w:t>
      </w:r>
    </w:p>
    <w:p>
      <w:pPr>
        <w:numPr>
          <w:ilvl w:val="0"/>
          <w:numId w:val="11"/>
        </w:num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审查及答复</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bCs/>
          <w:color w:val="auto"/>
          <w:sz w:val="24"/>
          <w:highlight w:val="none"/>
        </w:rPr>
        <w:t>事项1：</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事项2：</w:t>
      </w:r>
    </w:p>
    <w:p>
      <w:pPr>
        <w:snapToGrid w:val="0"/>
        <w:spacing w:line="360" w:lineRule="auto"/>
        <w:ind w:firstLine="48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欢迎并感谢你单位对政府采购活动的参与和支持。</w:t>
      </w:r>
    </w:p>
    <w:p>
      <w:pPr>
        <w:snapToGrid w:val="0"/>
        <w:spacing w:line="360" w:lineRule="auto"/>
        <w:rPr>
          <w:rFonts w:hint="eastAsia" w:ascii="仿宋" w:hAnsi="仿宋" w:eastAsia="仿宋" w:cs="仿宋"/>
          <w:bCs/>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采购单位：</w:t>
      </w:r>
    </w:p>
    <w:p>
      <w:pPr>
        <w:spacing w:line="360" w:lineRule="auto"/>
        <w:ind w:firstLine="5520" w:firstLineChars="2300"/>
        <w:rPr>
          <w:rFonts w:hint="eastAsia" w:ascii="仿宋" w:hAnsi="仿宋" w:eastAsia="仿宋" w:cs="仿宋"/>
          <w:color w:val="auto"/>
          <w:sz w:val="24"/>
          <w:highlight w:val="none"/>
        </w:rPr>
      </w:pPr>
      <w:r>
        <w:rPr>
          <w:rFonts w:hint="eastAsia" w:ascii="仿宋" w:hAnsi="仿宋" w:eastAsia="仿宋" w:cs="仿宋"/>
          <w:color w:val="auto"/>
          <w:sz w:val="24"/>
          <w:highlight w:val="none"/>
        </w:rPr>
        <w:t>年月日</w:t>
      </w:r>
    </w:p>
    <w:p>
      <w:pPr>
        <w:spacing w:line="360" w:lineRule="auto"/>
        <w:rPr>
          <w:rFonts w:hint="eastAsia" w:ascii="仿宋" w:hAnsi="仿宋" w:eastAsia="仿宋" w:cs="仿宋"/>
          <w:b/>
          <w:color w:val="auto"/>
          <w:sz w:val="24"/>
          <w:highlight w:val="none"/>
        </w:rPr>
      </w:pPr>
    </w:p>
    <w:sectPr>
      <w:headerReference r:id="rId19" w:type="first"/>
      <w:footerReference r:id="rId22" w:type="first"/>
      <w:headerReference r:id="rId18" w:type="default"/>
      <w:footerReference r:id="rId20" w:type="default"/>
      <w:footerReference r:id="rId21"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Helvetica">
    <w:panose1 w:val="020B0504020202030204"/>
    <w:charset w:val="00"/>
    <w:family w:val="swiss"/>
    <w:pitch w:val="default"/>
    <w:sig w:usb0="00000007" w:usb1="00000000" w:usb2="00000000" w:usb3="00000000" w:csb0="00000093" w:csb1="00000000"/>
  </w:font>
  <w:font w:name="Lucida Sans">
    <w:altName w:val="Lucida Sans Unicode"/>
    <w:panose1 w:val="020B0602030504020204"/>
    <w:charset w:val="00"/>
    <w:family w:val="swiss"/>
    <w:pitch w:val="default"/>
    <w:sig w:usb0="00000000"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swiss"/>
    <w:pitch w:val="default"/>
    <w:sig w:usb0="00000000" w:usb1="00000000" w:usb2="00000000" w:usb3="00000000" w:csb0="00000001" w:csb1="00000000"/>
  </w:font>
  <w:font w:name="ˎ̥">
    <w:altName w:val="微软雅黑"/>
    <w:panose1 w:val="00000000000000000000"/>
    <w:charset w:val="00"/>
    <w:family w:val="roman"/>
    <w:pitch w:val="default"/>
    <w:sig w:usb0="00000000" w:usb1="00000000" w:usb2="00000000" w:usb3="00000000" w:csb0="00040001" w:csb1="00000000"/>
  </w:font>
  <w:font w:name="Futura Bk">
    <w:altName w:val="Trebuchet MS"/>
    <w:panose1 w:val="00000000000000000000"/>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00001" w:csb1="00000000"/>
  </w:font>
  <w:font w:name="方正宋体">
    <w:altName w:val="宋体"/>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Futura Hv">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Century Gothic">
    <w:altName w:val="NumberOnly"/>
    <w:panose1 w:val="020B0502020202020204"/>
    <w:charset w:val="00"/>
    <w:family w:val="swiss"/>
    <w:pitch w:val="default"/>
    <w:sig w:usb0="00000000" w:usb1="00000000" w:usb2="00000000" w:usb3="00000000" w:csb0="2000009F" w:csb1="DFD70000"/>
  </w:font>
  <w:font w:name="Arial (W1)">
    <w:altName w:val="Arial"/>
    <w:panose1 w:val="00000000000000000000"/>
    <w:charset w:val="00"/>
    <w:family w:val="swiss"/>
    <w:pitch w:val="default"/>
    <w:sig w:usb0="00000000" w:usb1="00000000" w:usb2="00000000" w:usb3="00000000" w:csb0="00000001" w:csb1="00000000"/>
  </w:font>
  <w:font w:name="Aldine401 BT">
    <w:altName w:val="Courier New"/>
    <w:panose1 w:val="00000000000000000000"/>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E-F1">
    <w:altName w:val="Malgun Gothic"/>
    <w:panose1 w:val="00000000000000000000"/>
    <w:charset w:val="81"/>
    <w:family w:val="roman"/>
    <w:pitch w:val="default"/>
    <w:sig w:usb0="00000000" w:usb1="00000000" w:usb2="00000033" w:usb3="00000000" w:csb0="00080000" w:csb1="00000000"/>
  </w:font>
  <w:font w:name="Lucida Sans Unicode">
    <w:panose1 w:val="020B0602030504020204"/>
    <w:charset w:val="00"/>
    <w:family w:val="auto"/>
    <w:pitch w:val="default"/>
    <w:sig w:usb0="80001AFF" w:usb1="0000396B" w:usb2="00000000" w:usb3="00000000" w:csb0="200000BF" w:csb1="D7F70000"/>
  </w:font>
  <w:font w:name="Trebuchet MS">
    <w:panose1 w:val="020B0603020202020204"/>
    <w:charset w:val="00"/>
    <w:family w:val="auto"/>
    <w:pitch w:val="default"/>
    <w:sig w:usb0="00000287" w:usb1="00000000" w:usb2="00000000" w:usb3="00000000" w:csb0="2000009F" w:csb1="00000000"/>
  </w:font>
  <w:font w:name="NumberOnly">
    <w:panose1 w:val="020B0500000000000000"/>
    <w:charset w:val="00"/>
    <w:family w:val="auto"/>
    <w:pitch w:val="default"/>
    <w:sig w:usb0="8000002F" w:usb1="10000048" w:usb2="00000000" w:usb3="00000000" w:csb0="00000111" w:csb1="40000000"/>
  </w:font>
  <w:font w:name="Malgun Gothic">
    <w:panose1 w:val="020B0503020000020004"/>
    <w:charset w:val="81"/>
    <w:family w:val="auto"/>
    <w:pitch w:val="default"/>
    <w:sig w:usb0="900002AF" w:usb1="01D77CFB" w:usb2="00000012" w:usb3="00000000" w:csb0="0008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5"/>
      </w:rPr>
    </w:pPr>
    <w:r>
      <w:fldChar w:fldCharType="begin"/>
    </w:r>
    <w:r>
      <w:rPr>
        <w:rStyle w:val="65"/>
      </w:rPr>
      <w:instrText xml:space="preserve">PAGE  </w:instrText>
    </w:r>
    <w:r>
      <w:fldChar w:fldCharType="end"/>
    </w:r>
  </w:p>
  <w:p>
    <w:pPr>
      <w:pStyle w:val="39"/>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51</w:t>
    </w:r>
    <w:r>
      <w:rPr>
        <w:rFonts w:hint="eastAsia" w:ascii="仿宋_GB2312" w:eastAsia="仿宋_GB2312"/>
        <w:kern w:val="0"/>
        <w:szCs w:val="21"/>
      </w:rPr>
      <w:fldChar w:fldCharType="end"/>
    </w:r>
    <w:bookmarkStart w:id="433" w:name="_Toc131845147"/>
    <w:bookmarkStart w:id="434" w:name="_Toc91899912"/>
    <w:bookmarkStart w:id="435" w:name="_Toc164085800"/>
    <w:bookmarkStart w:id="436" w:name="_Toc36110187"/>
    <w:r>
      <w:rPr>
        <w:rFonts w:hint="eastAsia" w:ascii="仿宋_GB2312" w:eastAsia="仿宋_GB2312"/>
        <w:kern w:val="0"/>
        <w:szCs w:val="21"/>
      </w:rPr>
      <w:t xml:space="preserve"> 页</w:t>
    </w:r>
    <w:bookmarkEnd w:id="433"/>
    <w:bookmarkEnd w:id="434"/>
    <w:bookmarkEnd w:id="435"/>
    <w:bookmarkEnd w:id="43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5"/>
      </w:rPr>
    </w:pPr>
    <w:r>
      <w:fldChar w:fldCharType="begin"/>
    </w:r>
    <w:r>
      <w:rPr>
        <w:rStyle w:val="65"/>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4159"/>
      <w:rPr>
        <w:rFonts w:ascii="宋体" w:hAnsi="宋体" w:cs="宋体"/>
        <w:sz w:val="17"/>
        <w:szCs w:val="17"/>
      </w:rPr>
    </w:pPr>
    <w:r>
      <w:rPr>
        <w:rFonts w:ascii="宋体" w:hAnsi="宋体" w:cs="宋体"/>
        <w:spacing w:val="6"/>
        <w:sz w:val="17"/>
        <w:szCs w:val="17"/>
      </w:rPr>
      <w:t xml:space="preserve">第 </w:t>
    </w:r>
    <w:r>
      <w:rPr>
        <w:rFonts w:ascii="Calibri" w:hAnsi="Calibri" w:eastAsia="Calibri" w:cs="Calibri"/>
        <w:spacing w:val="6"/>
        <w:sz w:val="17"/>
        <w:szCs w:val="17"/>
      </w:rPr>
      <w:t xml:space="preserve">27  </w:t>
    </w:r>
    <w:r>
      <w:rPr>
        <w:rFonts w:ascii="宋体" w:hAnsi="宋体" w:cs="宋体"/>
        <w:spacing w:val="6"/>
        <w:sz w:val="17"/>
        <w:szCs w:val="17"/>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5"/>
      </w:rPr>
    </w:pPr>
    <w:r>
      <w:fldChar w:fldCharType="begin"/>
    </w:r>
    <w:r>
      <w:rPr>
        <w:rStyle w:val="65"/>
      </w:rPr>
      <w:instrText xml:space="preserve">PAGE  </w:instrText>
    </w:r>
    <w:r>
      <w:fldChar w:fldCharType="end"/>
    </w:r>
  </w:p>
  <w:p>
    <w:pPr>
      <w:pStyle w:val="39"/>
      <w:ind w:right="360"/>
    </w:pP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jc w:val="right"/>
    </w:pPr>
    <w:r>
      <w:rPr>
        <w:rFonts w:hint="eastAsia"/>
      </w:rPr>
      <w:t>公开交易文件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ind w:right="720"/>
      <w:jc w:val="right"/>
    </w:pPr>
    <w:r>
      <w:rPr>
        <w:rFonts w:hint="eastAsia"/>
      </w:rPr>
      <w:t>交易</w:t>
    </w:r>
    <w:r>
      <w:rPr>
        <w:rFonts w:hint="eastAsia"/>
        <w:lang w:val="zh-CN"/>
      </w:rP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205"/>
      </w:tabs>
      <w:spacing w:line="197" w:lineRule="auto"/>
      <w:rPr>
        <w:rFonts w:ascii="仿宋" w:hAnsi="仿宋" w:eastAsia="仿宋" w:cs="仿宋"/>
        <w:sz w:val="20"/>
        <w:szCs w:val="20"/>
      </w:rPr>
    </w:pPr>
    <w:r>
      <w:rPr>
        <w:rFonts w:ascii="仿宋" w:hAnsi="仿宋" w:eastAsia="仿宋" w:cs="仿宋"/>
        <w:sz w:val="20"/>
        <w:szCs w:val="20"/>
        <w:u w:val="single"/>
      </w:rPr>
      <w:tab/>
    </w:r>
    <w:r>
      <w:rPr>
        <w:rFonts w:ascii="仿宋" w:hAnsi="仿宋" w:eastAsia="仿宋" w:cs="仿宋"/>
        <w:spacing w:val="7"/>
        <w:sz w:val="20"/>
        <w:szCs w:val="20"/>
        <w:u w:val="single"/>
      </w:rPr>
      <w:t>交</w:t>
    </w:r>
    <w:r>
      <w:rPr>
        <w:rFonts w:ascii="仿宋" w:hAnsi="仿宋" w:eastAsia="仿宋" w:cs="仿宋"/>
        <w:spacing w:val="4"/>
        <w:sz w:val="20"/>
        <w:szCs w:val="20"/>
        <w:u w:val="single"/>
      </w:rPr>
      <w:t>易文件</w:t>
    </w:r>
    <w:r>
      <w:rPr>
        <w:rFonts w:ascii="仿宋" w:hAnsi="仿宋" w:eastAsia="仿宋" w:cs="仿宋"/>
        <w:sz w:val="20"/>
        <w:szCs w:val="20"/>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公开交易文件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p>
    <w:pPr>
      <w:pStyle w:val="40"/>
    </w:pPr>
    <w:r>
      <w:rPr>
        <w:rFonts w:hint="eastAsia"/>
      </w:rPr>
      <w:t xml:space="preserve">                                                                                       公开交易文件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 xml:space="preserve">                 </w:t>
    </w:r>
    <w:r>
      <w:t>公开</w:t>
    </w:r>
    <w:r>
      <w:rPr>
        <w:rFonts w:hint="eastAsia"/>
      </w:rPr>
      <w:t>交易</w:t>
    </w:r>
    <w:r>
      <w:t>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iCs/>
        <w:u w:val="single"/>
      </w:rPr>
    </w:pPr>
    <w:r>
      <w:rPr>
        <w:rFonts w:hint="eastAsia"/>
      </w:rPr>
      <w:t xml:space="preserve">                                                                                       公开交易文件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p>
    <w:pPr>
      <w:pStyle w:val="40"/>
    </w:pPr>
    <w:r>
      <w:rPr>
        <w:rFonts w:hint="eastAsia"/>
      </w:rPr>
      <w:t>萧山区政府采购公开交易文件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79A43"/>
    <w:multiLevelType w:val="singleLevel"/>
    <w:tmpl w:val="8F779A43"/>
    <w:lvl w:ilvl="0" w:tentative="0">
      <w:start w:val="1"/>
      <w:numFmt w:val="chineseCounting"/>
      <w:suff w:val="nothing"/>
      <w:lvlText w:val="%1、"/>
      <w:lvlJc w:val="left"/>
      <w:rPr>
        <w:rFonts w:hint="eastAsia"/>
      </w:rPr>
    </w:lvl>
  </w:abstractNum>
  <w:abstractNum w:abstractNumId="1">
    <w:nsid w:val="F3E72EF9"/>
    <w:multiLevelType w:val="singleLevel"/>
    <w:tmpl w:val="F3E72EF9"/>
    <w:lvl w:ilvl="0" w:tentative="0">
      <w:start w:val="2"/>
      <w:numFmt w:val="chineseCounting"/>
      <w:suff w:val="nothing"/>
      <w:lvlText w:val="%1、"/>
      <w:lvlJc w:val="left"/>
      <w:rPr>
        <w:rFonts w:hint="eastAsia"/>
      </w:rPr>
    </w:lvl>
  </w:abstractNum>
  <w:abstractNum w:abstractNumId="2">
    <w:nsid w:val="F4083AC2"/>
    <w:multiLevelType w:val="singleLevel"/>
    <w:tmpl w:val="F4083AC2"/>
    <w:lvl w:ilvl="0" w:tentative="0">
      <w:start w:val="4"/>
      <w:numFmt w:val="chineseCounting"/>
      <w:suff w:val="nothing"/>
      <w:lvlText w:val="%1、"/>
      <w:lvlJc w:val="left"/>
      <w:rPr>
        <w:rFonts w:hint="eastAsia"/>
      </w:rPr>
    </w:lvl>
  </w:abstractNum>
  <w:abstractNum w:abstractNumId="3">
    <w:nsid w:val="FFFFFF81"/>
    <w:multiLevelType w:val="singleLevel"/>
    <w:tmpl w:val="FFFFFF81"/>
    <w:lvl w:ilvl="0" w:tentative="0">
      <w:start w:val="1"/>
      <w:numFmt w:val="bullet"/>
      <w:pStyle w:val="15"/>
      <w:lvlText w:val=""/>
      <w:lvlJc w:val="left"/>
      <w:pPr>
        <w:tabs>
          <w:tab w:val="left" w:pos="1440"/>
        </w:tabs>
        <w:ind w:left="1440" w:hanging="360"/>
      </w:pPr>
      <w:rPr>
        <w:rFonts w:hint="default" w:ascii="Symbol" w:hAnsi="Symbol" w:eastAsia="Symbol"/>
      </w:rPr>
    </w:lvl>
  </w:abstractNum>
  <w:abstractNum w:abstractNumId="4">
    <w:nsid w:val="00000007"/>
    <w:multiLevelType w:val="multilevel"/>
    <w:tmpl w:val="00000007"/>
    <w:lvl w:ilvl="0" w:tentative="0">
      <w:start w:val="1"/>
      <w:numFmt w:val="bullet"/>
      <w:pStyle w:val="35"/>
      <w:lvlText w:val=""/>
      <w:lvlJc w:val="left"/>
      <w:pPr>
        <w:tabs>
          <w:tab w:val="left" w:pos="840"/>
        </w:tabs>
        <w:ind w:left="840" w:hanging="420"/>
      </w:pPr>
      <w:rPr>
        <w:rFonts w:hint="default" w:ascii="Wingdings" w:hAnsi="Wingdings"/>
      </w:rPr>
    </w:lvl>
    <w:lvl w:ilvl="1" w:tentative="0">
      <w:start w:val="1"/>
      <w:numFmt w:val="bullet"/>
      <w:pStyle w:val="330"/>
      <w:lvlText w:val=""/>
      <w:lvlJc w:val="left"/>
      <w:pPr>
        <w:tabs>
          <w:tab w:val="left" w:pos="1260"/>
        </w:tabs>
        <w:ind w:left="1260" w:hanging="420"/>
      </w:pPr>
      <w:rPr>
        <w:rFonts w:hint="default" w:ascii="Wingdings" w:hAnsi="Wingdings"/>
      </w:rPr>
    </w:lvl>
    <w:lvl w:ilvl="2" w:tentative="0">
      <w:start w:val="1"/>
      <w:numFmt w:val="bullet"/>
      <w:pStyle w:val="311"/>
      <w:lvlText w:val=""/>
      <w:lvlJc w:val="left"/>
      <w:pPr>
        <w:tabs>
          <w:tab w:val="left" w:pos="1680"/>
        </w:tabs>
        <w:ind w:left="1680" w:hanging="420"/>
      </w:pPr>
      <w:rPr>
        <w:rFonts w:hint="default" w:ascii="Wingdings" w:hAnsi="Wingdings"/>
      </w:rPr>
    </w:lvl>
    <w:lvl w:ilvl="3" w:tentative="0">
      <w:start w:val="1"/>
      <w:numFmt w:val="bullet"/>
      <w:pStyle w:val="328"/>
      <w:lvlText w:val=""/>
      <w:lvlJc w:val="left"/>
      <w:pPr>
        <w:tabs>
          <w:tab w:val="left" w:pos="2100"/>
        </w:tabs>
        <w:ind w:left="2100" w:hanging="420"/>
      </w:pPr>
      <w:rPr>
        <w:rFonts w:hint="default" w:ascii="Wingdings" w:hAnsi="Wingdings"/>
      </w:rPr>
    </w:lvl>
    <w:lvl w:ilvl="4" w:tentative="0">
      <w:start w:val="1"/>
      <w:numFmt w:val="bullet"/>
      <w:pStyle w:val="395"/>
      <w:lvlText w:val=""/>
      <w:lvlJc w:val="left"/>
      <w:pPr>
        <w:tabs>
          <w:tab w:val="left" w:pos="2520"/>
        </w:tabs>
        <w:ind w:left="2520" w:hanging="420"/>
      </w:pPr>
      <w:rPr>
        <w:rFonts w:hint="default" w:ascii="Wingdings" w:hAnsi="Wingdings"/>
      </w:rPr>
    </w:lvl>
    <w:lvl w:ilvl="5" w:tentative="0">
      <w:start w:val="1"/>
      <w:numFmt w:val="bullet"/>
      <w:pStyle w:val="465"/>
      <w:lvlText w:val=""/>
      <w:lvlJc w:val="left"/>
      <w:pPr>
        <w:tabs>
          <w:tab w:val="left" w:pos="2940"/>
        </w:tabs>
        <w:ind w:left="2940" w:hanging="420"/>
      </w:pPr>
      <w:rPr>
        <w:rFonts w:hint="default" w:ascii="Wingdings" w:hAnsi="Wingdings"/>
      </w:rPr>
    </w:lvl>
    <w:lvl w:ilvl="6" w:tentative="0">
      <w:start w:val="1"/>
      <w:numFmt w:val="bullet"/>
      <w:pStyle w:val="464"/>
      <w:lvlText w:val=""/>
      <w:lvlJc w:val="left"/>
      <w:pPr>
        <w:tabs>
          <w:tab w:val="left" w:pos="3360"/>
        </w:tabs>
        <w:ind w:left="3360" w:hanging="420"/>
      </w:pPr>
      <w:rPr>
        <w:rFonts w:hint="default" w:ascii="Wingdings" w:hAnsi="Wingdings"/>
      </w:rPr>
    </w:lvl>
    <w:lvl w:ilvl="7" w:tentative="0">
      <w:start w:val="1"/>
      <w:numFmt w:val="bullet"/>
      <w:pStyle w:val="539"/>
      <w:lvlText w:val=""/>
      <w:lvlJc w:val="left"/>
      <w:pPr>
        <w:tabs>
          <w:tab w:val="left" w:pos="3780"/>
        </w:tabs>
        <w:ind w:left="3780" w:hanging="420"/>
      </w:pPr>
      <w:rPr>
        <w:rFonts w:hint="default" w:ascii="Wingdings" w:hAnsi="Wingdings"/>
      </w:rPr>
    </w:lvl>
    <w:lvl w:ilvl="8" w:tentative="0">
      <w:start w:val="1"/>
      <w:numFmt w:val="bullet"/>
      <w:pStyle w:val="534"/>
      <w:lvlText w:val=""/>
      <w:lvlJc w:val="left"/>
      <w:pPr>
        <w:tabs>
          <w:tab w:val="left" w:pos="4200"/>
        </w:tabs>
        <w:ind w:left="4200" w:hanging="420"/>
      </w:pPr>
      <w:rPr>
        <w:rFonts w:hint="default" w:ascii="Wingdings" w:hAnsi="Wingdings"/>
      </w:rPr>
    </w:lvl>
  </w:abstractNum>
  <w:abstractNum w:abstractNumId="5">
    <w:nsid w:val="0000000A"/>
    <w:multiLevelType w:val="multilevel"/>
    <w:tmpl w:val="0000000A"/>
    <w:lvl w:ilvl="0" w:tentative="0">
      <w:start w:val="1"/>
      <w:numFmt w:val="decimal"/>
      <w:pStyle w:val="5"/>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11744E57"/>
    <w:multiLevelType w:val="multilevel"/>
    <w:tmpl w:val="11744E57"/>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6"/>
      <w:lvlText w:val="%1.%2.%3"/>
      <w:lvlJc w:val="left"/>
      <w:pPr>
        <w:tabs>
          <w:tab w:val="left" w:pos="900"/>
        </w:tabs>
        <w:ind w:left="90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7">
    <w:nsid w:val="22750A8C"/>
    <w:multiLevelType w:val="multilevel"/>
    <w:tmpl w:val="22750A8C"/>
    <w:lvl w:ilvl="0" w:tentative="0">
      <w:start w:val="1"/>
      <w:numFmt w:val="japaneseCounting"/>
      <w:lvlText w:val="%1、"/>
      <w:lvlJc w:val="left"/>
      <w:pPr>
        <w:ind w:left="720"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78B3BD2"/>
    <w:multiLevelType w:val="multilevel"/>
    <w:tmpl w:val="578B3BD2"/>
    <w:lvl w:ilvl="0" w:tentative="0">
      <w:start w:val="1"/>
      <w:numFmt w:val="decimal"/>
      <w:pStyle w:val="475"/>
      <w:lvlText w:val="%1"/>
      <w:lvlJc w:val="left"/>
      <w:pPr>
        <w:tabs>
          <w:tab w:val="left" w:pos="480"/>
        </w:tabs>
        <w:ind w:left="480" w:hanging="480"/>
      </w:pPr>
      <w:rPr>
        <w:rFonts w:hint="eastAsia"/>
        <w:sz w:val="44"/>
        <w:szCs w:val="44"/>
      </w:rPr>
    </w:lvl>
    <w:lvl w:ilvl="1" w:tentative="0">
      <w:start w:val="1"/>
      <w:numFmt w:val="decimal"/>
      <w:pStyle w:val="45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379"/>
      <w:lvlText w:val="%1.%2.%3.%4.%5"/>
      <w:lvlJc w:val="left"/>
      <w:pPr>
        <w:tabs>
          <w:tab w:val="left" w:pos="1080"/>
        </w:tabs>
        <w:ind w:left="1080" w:hanging="1080"/>
      </w:pPr>
      <w:rPr>
        <w:rFonts w:hint="default"/>
      </w:rPr>
    </w:lvl>
    <w:lvl w:ilvl="5" w:tentative="0">
      <w:start w:val="1"/>
      <w:numFmt w:val="decimal"/>
      <w:pStyle w:val="417"/>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5E8A8CF3"/>
    <w:multiLevelType w:val="singleLevel"/>
    <w:tmpl w:val="5E8A8CF3"/>
    <w:lvl w:ilvl="0" w:tentative="0">
      <w:start w:val="4"/>
      <w:numFmt w:val="chineseCounting"/>
      <w:suff w:val="nothing"/>
      <w:lvlText w:val="%1、"/>
      <w:lvlJc w:val="left"/>
      <w:rPr>
        <w:rFonts w:hint="eastAsia"/>
      </w:rPr>
    </w:lvl>
  </w:abstractNum>
  <w:abstractNum w:abstractNumId="10">
    <w:nsid w:val="73596DCC"/>
    <w:multiLevelType w:val="multilevel"/>
    <w:tmpl w:val="73596DCC"/>
    <w:lvl w:ilvl="0" w:tentative="0">
      <w:start w:val="1"/>
      <w:numFmt w:val="bullet"/>
      <w:pStyle w:val="476"/>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5"/>
  </w:num>
  <w:num w:numId="2">
    <w:abstractNumId w:val="6"/>
  </w:num>
  <w:num w:numId="3">
    <w:abstractNumId w:val="3"/>
  </w:num>
  <w:num w:numId="4">
    <w:abstractNumId w:val="4"/>
  </w:num>
  <w:num w:numId="5">
    <w:abstractNumId w:val="8"/>
  </w:num>
  <w:num w:numId="6">
    <w:abstractNumId w:val="10"/>
  </w:num>
  <w:num w:numId="7">
    <w:abstractNumId w:val="1"/>
  </w:num>
  <w:num w:numId="8">
    <w:abstractNumId w:val="9"/>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jMjNmNTE2MWY2MmNjOTRlZGQ2YTFhNzJlMmYxOWQifQ=="/>
  </w:docVars>
  <w:rsids>
    <w:rsidRoot w:val="00172A27"/>
    <w:rsid w:val="00000278"/>
    <w:rsid w:val="00000451"/>
    <w:rsid w:val="0000133D"/>
    <w:rsid w:val="00002075"/>
    <w:rsid w:val="00003EFB"/>
    <w:rsid w:val="000058BD"/>
    <w:rsid w:val="00006109"/>
    <w:rsid w:val="00006725"/>
    <w:rsid w:val="0000675E"/>
    <w:rsid w:val="00006ED1"/>
    <w:rsid w:val="00007151"/>
    <w:rsid w:val="00007CAA"/>
    <w:rsid w:val="00010FE9"/>
    <w:rsid w:val="0001122F"/>
    <w:rsid w:val="0001337C"/>
    <w:rsid w:val="000138C4"/>
    <w:rsid w:val="00013F31"/>
    <w:rsid w:val="000140D8"/>
    <w:rsid w:val="00014530"/>
    <w:rsid w:val="00014BBC"/>
    <w:rsid w:val="0001524C"/>
    <w:rsid w:val="000168D8"/>
    <w:rsid w:val="000170C8"/>
    <w:rsid w:val="000173F4"/>
    <w:rsid w:val="00017CC5"/>
    <w:rsid w:val="00020287"/>
    <w:rsid w:val="000202FE"/>
    <w:rsid w:val="000206A8"/>
    <w:rsid w:val="00023323"/>
    <w:rsid w:val="00023418"/>
    <w:rsid w:val="00024130"/>
    <w:rsid w:val="00024584"/>
    <w:rsid w:val="00024962"/>
    <w:rsid w:val="000249AA"/>
    <w:rsid w:val="000253E5"/>
    <w:rsid w:val="00025776"/>
    <w:rsid w:val="000270F2"/>
    <w:rsid w:val="000274CD"/>
    <w:rsid w:val="00027540"/>
    <w:rsid w:val="00030572"/>
    <w:rsid w:val="00030CB3"/>
    <w:rsid w:val="0003206A"/>
    <w:rsid w:val="000326A7"/>
    <w:rsid w:val="00032EA0"/>
    <w:rsid w:val="000336D4"/>
    <w:rsid w:val="00034AE7"/>
    <w:rsid w:val="00034FA7"/>
    <w:rsid w:val="000357E4"/>
    <w:rsid w:val="00035ACA"/>
    <w:rsid w:val="00035BFB"/>
    <w:rsid w:val="00036F94"/>
    <w:rsid w:val="00040D46"/>
    <w:rsid w:val="00041892"/>
    <w:rsid w:val="00042533"/>
    <w:rsid w:val="00042E65"/>
    <w:rsid w:val="0004347C"/>
    <w:rsid w:val="00043907"/>
    <w:rsid w:val="00044F48"/>
    <w:rsid w:val="00045085"/>
    <w:rsid w:val="00045ABD"/>
    <w:rsid w:val="00046153"/>
    <w:rsid w:val="0004708A"/>
    <w:rsid w:val="00047354"/>
    <w:rsid w:val="0004753C"/>
    <w:rsid w:val="00050656"/>
    <w:rsid w:val="00051B00"/>
    <w:rsid w:val="0005205F"/>
    <w:rsid w:val="0005238F"/>
    <w:rsid w:val="00052BB8"/>
    <w:rsid w:val="00052C94"/>
    <w:rsid w:val="00052F50"/>
    <w:rsid w:val="000531C9"/>
    <w:rsid w:val="0005417A"/>
    <w:rsid w:val="00054D39"/>
    <w:rsid w:val="0005501B"/>
    <w:rsid w:val="000550F5"/>
    <w:rsid w:val="00055337"/>
    <w:rsid w:val="000554C7"/>
    <w:rsid w:val="00055506"/>
    <w:rsid w:val="00055D88"/>
    <w:rsid w:val="00056402"/>
    <w:rsid w:val="00056791"/>
    <w:rsid w:val="000568DF"/>
    <w:rsid w:val="000574B4"/>
    <w:rsid w:val="000578A3"/>
    <w:rsid w:val="00057D4C"/>
    <w:rsid w:val="00061A3C"/>
    <w:rsid w:val="00061C48"/>
    <w:rsid w:val="00062410"/>
    <w:rsid w:val="00064278"/>
    <w:rsid w:val="000646CA"/>
    <w:rsid w:val="000665C4"/>
    <w:rsid w:val="00067821"/>
    <w:rsid w:val="0006785E"/>
    <w:rsid w:val="00067F92"/>
    <w:rsid w:val="00067FA7"/>
    <w:rsid w:val="0007032C"/>
    <w:rsid w:val="0007038E"/>
    <w:rsid w:val="0007077C"/>
    <w:rsid w:val="00070825"/>
    <w:rsid w:val="00071CD8"/>
    <w:rsid w:val="00072631"/>
    <w:rsid w:val="00072AED"/>
    <w:rsid w:val="00072B56"/>
    <w:rsid w:val="00072D2B"/>
    <w:rsid w:val="000730B1"/>
    <w:rsid w:val="00073337"/>
    <w:rsid w:val="00073860"/>
    <w:rsid w:val="000738EA"/>
    <w:rsid w:val="00075D0E"/>
    <w:rsid w:val="00075F6A"/>
    <w:rsid w:val="0007616C"/>
    <w:rsid w:val="000763F3"/>
    <w:rsid w:val="00076801"/>
    <w:rsid w:val="0007696A"/>
    <w:rsid w:val="00077577"/>
    <w:rsid w:val="00077607"/>
    <w:rsid w:val="00077756"/>
    <w:rsid w:val="00080970"/>
    <w:rsid w:val="00081671"/>
    <w:rsid w:val="000832BE"/>
    <w:rsid w:val="00084D27"/>
    <w:rsid w:val="0008580E"/>
    <w:rsid w:val="00085A0E"/>
    <w:rsid w:val="00085C4F"/>
    <w:rsid w:val="000866B4"/>
    <w:rsid w:val="00086EEB"/>
    <w:rsid w:val="00086F8A"/>
    <w:rsid w:val="00090243"/>
    <w:rsid w:val="000904F6"/>
    <w:rsid w:val="00090ED8"/>
    <w:rsid w:val="0009145F"/>
    <w:rsid w:val="00091B4E"/>
    <w:rsid w:val="00092FE9"/>
    <w:rsid w:val="00093BC1"/>
    <w:rsid w:val="00094342"/>
    <w:rsid w:val="00095954"/>
    <w:rsid w:val="00095FAF"/>
    <w:rsid w:val="000960BA"/>
    <w:rsid w:val="0009662A"/>
    <w:rsid w:val="00096D65"/>
    <w:rsid w:val="00096DFF"/>
    <w:rsid w:val="000974A2"/>
    <w:rsid w:val="000A0E69"/>
    <w:rsid w:val="000A0FEB"/>
    <w:rsid w:val="000A1A52"/>
    <w:rsid w:val="000A1F98"/>
    <w:rsid w:val="000A3D58"/>
    <w:rsid w:val="000A3F17"/>
    <w:rsid w:val="000A47B0"/>
    <w:rsid w:val="000A49BB"/>
    <w:rsid w:val="000A4F22"/>
    <w:rsid w:val="000A5674"/>
    <w:rsid w:val="000A5A46"/>
    <w:rsid w:val="000A5F57"/>
    <w:rsid w:val="000A7299"/>
    <w:rsid w:val="000B0262"/>
    <w:rsid w:val="000B0E04"/>
    <w:rsid w:val="000B291B"/>
    <w:rsid w:val="000B456C"/>
    <w:rsid w:val="000B4B56"/>
    <w:rsid w:val="000B4C62"/>
    <w:rsid w:val="000B54C1"/>
    <w:rsid w:val="000C0A43"/>
    <w:rsid w:val="000C1411"/>
    <w:rsid w:val="000C1ADE"/>
    <w:rsid w:val="000C1C38"/>
    <w:rsid w:val="000C2264"/>
    <w:rsid w:val="000C256B"/>
    <w:rsid w:val="000C3970"/>
    <w:rsid w:val="000C3B1A"/>
    <w:rsid w:val="000C4727"/>
    <w:rsid w:val="000C47AE"/>
    <w:rsid w:val="000C51AD"/>
    <w:rsid w:val="000C5374"/>
    <w:rsid w:val="000C5EC0"/>
    <w:rsid w:val="000C5FD7"/>
    <w:rsid w:val="000C6162"/>
    <w:rsid w:val="000C6688"/>
    <w:rsid w:val="000C7BEB"/>
    <w:rsid w:val="000C7FA9"/>
    <w:rsid w:val="000D0124"/>
    <w:rsid w:val="000D0E40"/>
    <w:rsid w:val="000D11E5"/>
    <w:rsid w:val="000D19E8"/>
    <w:rsid w:val="000D2834"/>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1AD5"/>
    <w:rsid w:val="000E20C9"/>
    <w:rsid w:val="000E2785"/>
    <w:rsid w:val="000E27BB"/>
    <w:rsid w:val="000E3153"/>
    <w:rsid w:val="000E386F"/>
    <w:rsid w:val="000E4051"/>
    <w:rsid w:val="000E4765"/>
    <w:rsid w:val="000E5B7E"/>
    <w:rsid w:val="000E5FF9"/>
    <w:rsid w:val="000E6AE1"/>
    <w:rsid w:val="000E7142"/>
    <w:rsid w:val="000E7180"/>
    <w:rsid w:val="000E7632"/>
    <w:rsid w:val="000E7739"/>
    <w:rsid w:val="000E77EE"/>
    <w:rsid w:val="000F0571"/>
    <w:rsid w:val="000F2940"/>
    <w:rsid w:val="000F3D08"/>
    <w:rsid w:val="000F4495"/>
    <w:rsid w:val="000F4A05"/>
    <w:rsid w:val="000F505B"/>
    <w:rsid w:val="000F68A0"/>
    <w:rsid w:val="000F6CC2"/>
    <w:rsid w:val="0010065F"/>
    <w:rsid w:val="0010118C"/>
    <w:rsid w:val="0010125E"/>
    <w:rsid w:val="00101967"/>
    <w:rsid w:val="00103EBD"/>
    <w:rsid w:val="001048AB"/>
    <w:rsid w:val="00104E5B"/>
    <w:rsid w:val="00104EEC"/>
    <w:rsid w:val="001050DC"/>
    <w:rsid w:val="00105482"/>
    <w:rsid w:val="001055BB"/>
    <w:rsid w:val="001056A5"/>
    <w:rsid w:val="00105BA9"/>
    <w:rsid w:val="00106AAA"/>
    <w:rsid w:val="00106BD2"/>
    <w:rsid w:val="00107BBD"/>
    <w:rsid w:val="00107BC7"/>
    <w:rsid w:val="001102B5"/>
    <w:rsid w:val="00111117"/>
    <w:rsid w:val="00111C7D"/>
    <w:rsid w:val="00112038"/>
    <w:rsid w:val="001127BC"/>
    <w:rsid w:val="001127FF"/>
    <w:rsid w:val="00112B0B"/>
    <w:rsid w:val="00113123"/>
    <w:rsid w:val="0011383E"/>
    <w:rsid w:val="00113941"/>
    <w:rsid w:val="00114847"/>
    <w:rsid w:val="0011560B"/>
    <w:rsid w:val="0011585B"/>
    <w:rsid w:val="00115B1A"/>
    <w:rsid w:val="001160FF"/>
    <w:rsid w:val="001168F8"/>
    <w:rsid w:val="001176FF"/>
    <w:rsid w:val="00120F18"/>
    <w:rsid w:val="0012159D"/>
    <w:rsid w:val="001231D3"/>
    <w:rsid w:val="001232A7"/>
    <w:rsid w:val="0012419E"/>
    <w:rsid w:val="001248EF"/>
    <w:rsid w:val="00124FC4"/>
    <w:rsid w:val="001253AB"/>
    <w:rsid w:val="0012574C"/>
    <w:rsid w:val="001259B8"/>
    <w:rsid w:val="0012693E"/>
    <w:rsid w:val="001308CC"/>
    <w:rsid w:val="00130B94"/>
    <w:rsid w:val="00131762"/>
    <w:rsid w:val="00131C2D"/>
    <w:rsid w:val="0013202C"/>
    <w:rsid w:val="00132CBF"/>
    <w:rsid w:val="00133742"/>
    <w:rsid w:val="001350F7"/>
    <w:rsid w:val="00135562"/>
    <w:rsid w:val="00135769"/>
    <w:rsid w:val="00135BE9"/>
    <w:rsid w:val="001365C5"/>
    <w:rsid w:val="00136762"/>
    <w:rsid w:val="00136E33"/>
    <w:rsid w:val="0013755B"/>
    <w:rsid w:val="0013773D"/>
    <w:rsid w:val="00137A63"/>
    <w:rsid w:val="00140693"/>
    <w:rsid w:val="00140D7A"/>
    <w:rsid w:val="00141DFE"/>
    <w:rsid w:val="00142A51"/>
    <w:rsid w:val="001433BC"/>
    <w:rsid w:val="00144649"/>
    <w:rsid w:val="00145022"/>
    <w:rsid w:val="00145662"/>
    <w:rsid w:val="00145C6D"/>
    <w:rsid w:val="00146151"/>
    <w:rsid w:val="00147032"/>
    <w:rsid w:val="00147EA7"/>
    <w:rsid w:val="00151B2F"/>
    <w:rsid w:val="001524DC"/>
    <w:rsid w:val="001525E5"/>
    <w:rsid w:val="00153859"/>
    <w:rsid w:val="00153915"/>
    <w:rsid w:val="00155B95"/>
    <w:rsid w:val="00156853"/>
    <w:rsid w:val="00157432"/>
    <w:rsid w:val="0016109B"/>
    <w:rsid w:val="00161185"/>
    <w:rsid w:val="001623AC"/>
    <w:rsid w:val="00162BAA"/>
    <w:rsid w:val="0016488B"/>
    <w:rsid w:val="00165758"/>
    <w:rsid w:val="00165A65"/>
    <w:rsid w:val="00167478"/>
    <w:rsid w:val="00167594"/>
    <w:rsid w:val="001702BE"/>
    <w:rsid w:val="001704B3"/>
    <w:rsid w:val="001704DA"/>
    <w:rsid w:val="0017105C"/>
    <w:rsid w:val="00171622"/>
    <w:rsid w:val="001721CF"/>
    <w:rsid w:val="001728FD"/>
    <w:rsid w:val="00172A27"/>
    <w:rsid w:val="00172F02"/>
    <w:rsid w:val="00173631"/>
    <w:rsid w:val="0017372D"/>
    <w:rsid w:val="00173C58"/>
    <w:rsid w:val="00173E59"/>
    <w:rsid w:val="00174F57"/>
    <w:rsid w:val="00175078"/>
    <w:rsid w:val="001755DC"/>
    <w:rsid w:val="0017693F"/>
    <w:rsid w:val="00180A47"/>
    <w:rsid w:val="001827B7"/>
    <w:rsid w:val="001827EF"/>
    <w:rsid w:val="001828B3"/>
    <w:rsid w:val="00182982"/>
    <w:rsid w:val="00182D68"/>
    <w:rsid w:val="00183031"/>
    <w:rsid w:val="00183468"/>
    <w:rsid w:val="0018397E"/>
    <w:rsid w:val="00184DBF"/>
    <w:rsid w:val="001852A8"/>
    <w:rsid w:val="00187243"/>
    <w:rsid w:val="00187C29"/>
    <w:rsid w:val="00190942"/>
    <w:rsid w:val="001909A7"/>
    <w:rsid w:val="00191459"/>
    <w:rsid w:val="0019174E"/>
    <w:rsid w:val="001923D5"/>
    <w:rsid w:val="001926DA"/>
    <w:rsid w:val="00192991"/>
    <w:rsid w:val="00193B94"/>
    <w:rsid w:val="001940A7"/>
    <w:rsid w:val="00194BB1"/>
    <w:rsid w:val="00194BC6"/>
    <w:rsid w:val="00195070"/>
    <w:rsid w:val="0019526D"/>
    <w:rsid w:val="0019535C"/>
    <w:rsid w:val="001956BE"/>
    <w:rsid w:val="0019602C"/>
    <w:rsid w:val="001969F2"/>
    <w:rsid w:val="0019756A"/>
    <w:rsid w:val="001A07F8"/>
    <w:rsid w:val="001A0864"/>
    <w:rsid w:val="001A0A23"/>
    <w:rsid w:val="001A0A91"/>
    <w:rsid w:val="001A128B"/>
    <w:rsid w:val="001A1F0E"/>
    <w:rsid w:val="001A473A"/>
    <w:rsid w:val="001A4B80"/>
    <w:rsid w:val="001A4ED9"/>
    <w:rsid w:val="001A5785"/>
    <w:rsid w:val="001A5FD7"/>
    <w:rsid w:val="001A66A6"/>
    <w:rsid w:val="001A6BBB"/>
    <w:rsid w:val="001A79A2"/>
    <w:rsid w:val="001B13BF"/>
    <w:rsid w:val="001B1567"/>
    <w:rsid w:val="001B16F5"/>
    <w:rsid w:val="001B1C1F"/>
    <w:rsid w:val="001B219B"/>
    <w:rsid w:val="001B2377"/>
    <w:rsid w:val="001B2703"/>
    <w:rsid w:val="001B3E6D"/>
    <w:rsid w:val="001B46B2"/>
    <w:rsid w:val="001B4725"/>
    <w:rsid w:val="001B48B2"/>
    <w:rsid w:val="001B49DA"/>
    <w:rsid w:val="001B4CA8"/>
    <w:rsid w:val="001B4E53"/>
    <w:rsid w:val="001B572D"/>
    <w:rsid w:val="001B5B10"/>
    <w:rsid w:val="001B5E9A"/>
    <w:rsid w:val="001B7A15"/>
    <w:rsid w:val="001B7B69"/>
    <w:rsid w:val="001C08DB"/>
    <w:rsid w:val="001C10BD"/>
    <w:rsid w:val="001C1F01"/>
    <w:rsid w:val="001C232F"/>
    <w:rsid w:val="001C2544"/>
    <w:rsid w:val="001C2A17"/>
    <w:rsid w:val="001C31F5"/>
    <w:rsid w:val="001C457B"/>
    <w:rsid w:val="001C6047"/>
    <w:rsid w:val="001C6698"/>
    <w:rsid w:val="001C7CE0"/>
    <w:rsid w:val="001D005B"/>
    <w:rsid w:val="001D0947"/>
    <w:rsid w:val="001D16F5"/>
    <w:rsid w:val="001D1970"/>
    <w:rsid w:val="001D1D1E"/>
    <w:rsid w:val="001D1D55"/>
    <w:rsid w:val="001D21EF"/>
    <w:rsid w:val="001D29A4"/>
    <w:rsid w:val="001D330D"/>
    <w:rsid w:val="001D4AB6"/>
    <w:rsid w:val="001D4AD3"/>
    <w:rsid w:val="001D7DFE"/>
    <w:rsid w:val="001E10C6"/>
    <w:rsid w:val="001E1713"/>
    <w:rsid w:val="001E17E3"/>
    <w:rsid w:val="001E2052"/>
    <w:rsid w:val="001E257C"/>
    <w:rsid w:val="001E31AF"/>
    <w:rsid w:val="001E35EE"/>
    <w:rsid w:val="001E4B2C"/>
    <w:rsid w:val="001E507F"/>
    <w:rsid w:val="001E59FB"/>
    <w:rsid w:val="001F0FD1"/>
    <w:rsid w:val="001F19D1"/>
    <w:rsid w:val="001F1CB9"/>
    <w:rsid w:val="001F1F18"/>
    <w:rsid w:val="001F2F92"/>
    <w:rsid w:val="001F5DBF"/>
    <w:rsid w:val="001F612E"/>
    <w:rsid w:val="001F62C3"/>
    <w:rsid w:val="00201B0F"/>
    <w:rsid w:val="00202800"/>
    <w:rsid w:val="00202D33"/>
    <w:rsid w:val="00202E58"/>
    <w:rsid w:val="00202F99"/>
    <w:rsid w:val="00203C85"/>
    <w:rsid w:val="00205112"/>
    <w:rsid w:val="00205298"/>
    <w:rsid w:val="002052DD"/>
    <w:rsid w:val="00205939"/>
    <w:rsid w:val="00205D1C"/>
    <w:rsid w:val="002062B8"/>
    <w:rsid w:val="00206698"/>
    <w:rsid w:val="00206736"/>
    <w:rsid w:val="00206C88"/>
    <w:rsid w:val="002078A3"/>
    <w:rsid w:val="00207EF1"/>
    <w:rsid w:val="00210744"/>
    <w:rsid w:val="00210B9C"/>
    <w:rsid w:val="002117E5"/>
    <w:rsid w:val="00213D15"/>
    <w:rsid w:val="00214028"/>
    <w:rsid w:val="002141C3"/>
    <w:rsid w:val="002141D6"/>
    <w:rsid w:val="002141DC"/>
    <w:rsid w:val="00214479"/>
    <w:rsid w:val="002144F3"/>
    <w:rsid w:val="002146C3"/>
    <w:rsid w:val="00215A2A"/>
    <w:rsid w:val="00215D21"/>
    <w:rsid w:val="00216387"/>
    <w:rsid w:val="002204BC"/>
    <w:rsid w:val="00220F7B"/>
    <w:rsid w:val="002213CE"/>
    <w:rsid w:val="00221AF7"/>
    <w:rsid w:val="00221FFA"/>
    <w:rsid w:val="00222494"/>
    <w:rsid w:val="00222775"/>
    <w:rsid w:val="00222A31"/>
    <w:rsid w:val="00222CF6"/>
    <w:rsid w:val="002244E4"/>
    <w:rsid w:val="00224D2A"/>
    <w:rsid w:val="00224D8D"/>
    <w:rsid w:val="0022555A"/>
    <w:rsid w:val="00230689"/>
    <w:rsid w:val="0023079F"/>
    <w:rsid w:val="00231135"/>
    <w:rsid w:val="00231523"/>
    <w:rsid w:val="00233538"/>
    <w:rsid w:val="0023449F"/>
    <w:rsid w:val="002344F5"/>
    <w:rsid w:val="0023454D"/>
    <w:rsid w:val="00234679"/>
    <w:rsid w:val="00236690"/>
    <w:rsid w:val="0023669D"/>
    <w:rsid w:val="00237FA2"/>
    <w:rsid w:val="002403D5"/>
    <w:rsid w:val="00240F67"/>
    <w:rsid w:val="00241144"/>
    <w:rsid w:val="00241606"/>
    <w:rsid w:val="00242510"/>
    <w:rsid w:val="00242F79"/>
    <w:rsid w:val="0024415B"/>
    <w:rsid w:val="00245565"/>
    <w:rsid w:val="002458C1"/>
    <w:rsid w:val="00246357"/>
    <w:rsid w:val="00246924"/>
    <w:rsid w:val="00247422"/>
    <w:rsid w:val="00247BA2"/>
    <w:rsid w:val="0025184F"/>
    <w:rsid w:val="00251967"/>
    <w:rsid w:val="002527CC"/>
    <w:rsid w:val="00253586"/>
    <w:rsid w:val="002537FC"/>
    <w:rsid w:val="002542F8"/>
    <w:rsid w:val="002543EF"/>
    <w:rsid w:val="00255784"/>
    <w:rsid w:val="00255AF7"/>
    <w:rsid w:val="002560CA"/>
    <w:rsid w:val="0025631F"/>
    <w:rsid w:val="00256986"/>
    <w:rsid w:val="00257246"/>
    <w:rsid w:val="00257438"/>
    <w:rsid w:val="00260FA5"/>
    <w:rsid w:val="00261246"/>
    <w:rsid w:val="0026212A"/>
    <w:rsid w:val="00263044"/>
    <w:rsid w:val="00263759"/>
    <w:rsid w:val="002638BD"/>
    <w:rsid w:val="0026470B"/>
    <w:rsid w:val="0026486D"/>
    <w:rsid w:val="00264C4B"/>
    <w:rsid w:val="00264ED0"/>
    <w:rsid w:val="002660C3"/>
    <w:rsid w:val="00266DE1"/>
    <w:rsid w:val="00267A92"/>
    <w:rsid w:val="00267E43"/>
    <w:rsid w:val="00270282"/>
    <w:rsid w:val="002711EF"/>
    <w:rsid w:val="0027244F"/>
    <w:rsid w:val="0027393E"/>
    <w:rsid w:val="002739CE"/>
    <w:rsid w:val="00273C5F"/>
    <w:rsid w:val="002751CA"/>
    <w:rsid w:val="0027544D"/>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FF3"/>
    <w:rsid w:val="002866EC"/>
    <w:rsid w:val="0028744E"/>
    <w:rsid w:val="00287936"/>
    <w:rsid w:val="002903C5"/>
    <w:rsid w:val="00290A99"/>
    <w:rsid w:val="00290EAF"/>
    <w:rsid w:val="0029129B"/>
    <w:rsid w:val="0029159A"/>
    <w:rsid w:val="0029199A"/>
    <w:rsid w:val="00291E17"/>
    <w:rsid w:val="00292AA1"/>
    <w:rsid w:val="00293623"/>
    <w:rsid w:val="00293D77"/>
    <w:rsid w:val="0029499D"/>
    <w:rsid w:val="00294A13"/>
    <w:rsid w:val="00294B10"/>
    <w:rsid w:val="00294DF9"/>
    <w:rsid w:val="00295073"/>
    <w:rsid w:val="00296C32"/>
    <w:rsid w:val="002977CE"/>
    <w:rsid w:val="00297AF5"/>
    <w:rsid w:val="002A02D6"/>
    <w:rsid w:val="002A07C4"/>
    <w:rsid w:val="002A0921"/>
    <w:rsid w:val="002A0CB3"/>
    <w:rsid w:val="002A1887"/>
    <w:rsid w:val="002A2001"/>
    <w:rsid w:val="002A4060"/>
    <w:rsid w:val="002A4A05"/>
    <w:rsid w:val="002A4EB3"/>
    <w:rsid w:val="002A51D9"/>
    <w:rsid w:val="002A572D"/>
    <w:rsid w:val="002A5CAB"/>
    <w:rsid w:val="002A5D1C"/>
    <w:rsid w:val="002A5D40"/>
    <w:rsid w:val="002A64E7"/>
    <w:rsid w:val="002A7ED3"/>
    <w:rsid w:val="002A7FC9"/>
    <w:rsid w:val="002B06C1"/>
    <w:rsid w:val="002B139C"/>
    <w:rsid w:val="002B1881"/>
    <w:rsid w:val="002B1D8A"/>
    <w:rsid w:val="002B1F61"/>
    <w:rsid w:val="002B2906"/>
    <w:rsid w:val="002B34E3"/>
    <w:rsid w:val="002B419E"/>
    <w:rsid w:val="002B5AEE"/>
    <w:rsid w:val="002B6177"/>
    <w:rsid w:val="002B650C"/>
    <w:rsid w:val="002B68E6"/>
    <w:rsid w:val="002B6985"/>
    <w:rsid w:val="002C0301"/>
    <w:rsid w:val="002C0326"/>
    <w:rsid w:val="002C0A9F"/>
    <w:rsid w:val="002C1AB3"/>
    <w:rsid w:val="002C1BB7"/>
    <w:rsid w:val="002C2665"/>
    <w:rsid w:val="002C28E1"/>
    <w:rsid w:val="002C327D"/>
    <w:rsid w:val="002C3890"/>
    <w:rsid w:val="002C3AD9"/>
    <w:rsid w:val="002C3D8A"/>
    <w:rsid w:val="002C45C3"/>
    <w:rsid w:val="002C483B"/>
    <w:rsid w:val="002C5F67"/>
    <w:rsid w:val="002C643D"/>
    <w:rsid w:val="002C6CCA"/>
    <w:rsid w:val="002C70E7"/>
    <w:rsid w:val="002D0E88"/>
    <w:rsid w:val="002D1593"/>
    <w:rsid w:val="002D1942"/>
    <w:rsid w:val="002D22A6"/>
    <w:rsid w:val="002D2819"/>
    <w:rsid w:val="002D2CD6"/>
    <w:rsid w:val="002D2F81"/>
    <w:rsid w:val="002D38A3"/>
    <w:rsid w:val="002D3BA3"/>
    <w:rsid w:val="002D4892"/>
    <w:rsid w:val="002D4D06"/>
    <w:rsid w:val="002D4EE7"/>
    <w:rsid w:val="002D4EED"/>
    <w:rsid w:val="002D58A2"/>
    <w:rsid w:val="002D65AD"/>
    <w:rsid w:val="002D6782"/>
    <w:rsid w:val="002D74A4"/>
    <w:rsid w:val="002D74F4"/>
    <w:rsid w:val="002D7B50"/>
    <w:rsid w:val="002D7DB2"/>
    <w:rsid w:val="002D7EA8"/>
    <w:rsid w:val="002E00E1"/>
    <w:rsid w:val="002E03AE"/>
    <w:rsid w:val="002E0542"/>
    <w:rsid w:val="002E05F2"/>
    <w:rsid w:val="002E0E87"/>
    <w:rsid w:val="002E0F36"/>
    <w:rsid w:val="002E13CF"/>
    <w:rsid w:val="002E1FA9"/>
    <w:rsid w:val="002E201C"/>
    <w:rsid w:val="002E236F"/>
    <w:rsid w:val="002E3956"/>
    <w:rsid w:val="002E469E"/>
    <w:rsid w:val="002E4C01"/>
    <w:rsid w:val="002E4D50"/>
    <w:rsid w:val="002E55FF"/>
    <w:rsid w:val="002E587E"/>
    <w:rsid w:val="002E5DE8"/>
    <w:rsid w:val="002E672A"/>
    <w:rsid w:val="002E6853"/>
    <w:rsid w:val="002E7851"/>
    <w:rsid w:val="002E7EC1"/>
    <w:rsid w:val="002E7EE5"/>
    <w:rsid w:val="002F0323"/>
    <w:rsid w:val="002F134F"/>
    <w:rsid w:val="002F1D0B"/>
    <w:rsid w:val="002F1F02"/>
    <w:rsid w:val="002F27E5"/>
    <w:rsid w:val="002F2D81"/>
    <w:rsid w:val="002F43E5"/>
    <w:rsid w:val="002F4909"/>
    <w:rsid w:val="002F4BA9"/>
    <w:rsid w:val="002F541B"/>
    <w:rsid w:val="002F5BFE"/>
    <w:rsid w:val="002F6EFF"/>
    <w:rsid w:val="002F7DF0"/>
    <w:rsid w:val="002F7FAF"/>
    <w:rsid w:val="00301D64"/>
    <w:rsid w:val="00303AB6"/>
    <w:rsid w:val="00304640"/>
    <w:rsid w:val="00304AC1"/>
    <w:rsid w:val="00305090"/>
    <w:rsid w:val="003050C1"/>
    <w:rsid w:val="00305454"/>
    <w:rsid w:val="00305B9F"/>
    <w:rsid w:val="00305E21"/>
    <w:rsid w:val="003066C6"/>
    <w:rsid w:val="003066FA"/>
    <w:rsid w:val="00306AD6"/>
    <w:rsid w:val="00307DC7"/>
    <w:rsid w:val="00310EDB"/>
    <w:rsid w:val="0031266F"/>
    <w:rsid w:val="00312DFC"/>
    <w:rsid w:val="0031318C"/>
    <w:rsid w:val="0031327E"/>
    <w:rsid w:val="003133DF"/>
    <w:rsid w:val="00313C9D"/>
    <w:rsid w:val="00313E7B"/>
    <w:rsid w:val="0031430C"/>
    <w:rsid w:val="00314C5A"/>
    <w:rsid w:val="0031531A"/>
    <w:rsid w:val="00315394"/>
    <w:rsid w:val="003156D4"/>
    <w:rsid w:val="00315D77"/>
    <w:rsid w:val="003165B1"/>
    <w:rsid w:val="00316A70"/>
    <w:rsid w:val="00316CDE"/>
    <w:rsid w:val="0031752D"/>
    <w:rsid w:val="00320688"/>
    <w:rsid w:val="00320B52"/>
    <w:rsid w:val="0032226D"/>
    <w:rsid w:val="00323414"/>
    <w:rsid w:val="003249F6"/>
    <w:rsid w:val="00324B2F"/>
    <w:rsid w:val="003251B3"/>
    <w:rsid w:val="0032576A"/>
    <w:rsid w:val="00325FCC"/>
    <w:rsid w:val="00326106"/>
    <w:rsid w:val="00326144"/>
    <w:rsid w:val="00326805"/>
    <w:rsid w:val="003269B7"/>
    <w:rsid w:val="00326C0E"/>
    <w:rsid w:val="003272A3"/>
    <w:rsid w:val="003272E4"/>
    <w:rsid w:val="00327B71"/>
    <w:rsid w:val="00331461"/>
    <w:rsid w:val="003316A8"/>
    <w:rsid w:val="00331CC9"/>
    <w:rsid w:val="003320D7"/>
    <w:rsid w:val="00332433"/>
    <w:rsid w:val="00332D52"/>
    <w:rsid w:val="00333337"/>
    <w:rsid w:val="00333A28"/>
    <w:rsid w:val="003360AD"/>
    <w:rsid w:val="0033617A"/>
    <w:rsid w:val="0033631D"/>
    <w:rsid w:val="00337409"/>
    <w:rsid w:val="003405AF"/>
    <w:rsid w:val="0034088F"/>
    <w:rsid w:val="00340B3E"/>
    <w:rsid w:val="003413D2"/>
    <w:rsid w:val="003422B5"/>
    <w:rsid w:val="003426D7"/>
    <w:rsid w:val="00342857"/>
    <w:rsid w:val="00342E4F"/>
    <w:rsid w:val="00344BBF"/>
    <w:rsid w:val="0034509B"/>
    <w:rsid w:val="00345644"/>
    <w:rsid w:val="00345D7A"/>
    <w:rsid w:val="0034607E"/>
    <w:rsid w:val="00346A23"/>
    <w:rsid w:val="00346B6D"/>
    <w:rsid w:val="00346BA3"/>
    <w:rsid w:val="00347356"/>
    <w:rsid w:val="00350896"/>
    <w:rsid w:val="00350C31"/>
    <w:rsid w:val="00351457"/>
    <w:rsid w:val="003519CD"/>
    <w:rsid w:val="00351A3A"/>
    <w:rsid w:val="0035455F"/>
    <w:rsid w:val="003545E9"/>
    <w:rsid w:val="00355D8F"/>
    <w:rsid w:val="00356FF0"/>
    <w:rsid w:val="0035776F"/>
    <w:rsid w:val="003577EF"/>
    <w:rsid w:val="00360304"/>
    <w:rsid w:val="00361750"/>
    <w:rsid w:val="00363B2A"/>
    <w:rsid w:val="00363BF1"/>
    <w:rsid w:val="003665F2"/>
    <w:rsid w:val="00366779"/>
    <w:rsid w:val="003669C8"/>
    <w:rsid w:val="00366CEB"/>
    <w:rsid w:val="003672B3"/>
    <w:rsid w:val="003676DF"/>
    <w:rsid w:val="00367783"/>
    <w:rsid w:val="003679D3"/>
    <w:rsid w:val="00367A87"/>
    <w:rsid w:val="00367EE7"/>
    <w:rsid w:val="003705EA"/>
    <w:rsid w:val="00370A56"/>
    <w:rsid w:val="0037175D"/>
    <w:rsid w:val="0037223C"/>
    <w:rsid w:val="00372842"/>
    <w:rsid w:val="003729A5"/>
    <w:rsid w:val="00372C89"/>
    <w:rsid w:val="00372E9A"/>
    <w:rsid w:val="003735B9"/>
    <w:rsid w:val="00374259"/>
    <w:rsid w:val="00374677"/>
    <w:rsid w:val="00375850"/>
    <w:rsid w:val="0037632F"/>
    <w:rsid w:val="00377B26"/>
    <w:rsid w:val="00377B46"/>
    <w:rsid w:val="00377F5E"/>
    <w:rsid w:val="00380197"/>
    <w:rsid w:val="00381014"/>
    <w:rsid w:val="003811A8"/>
    <w:rsid w:val="00381604"/>
    <w:rsid w:val="00381C68"/>
    <w:rsid w:val="00381F60"/>
    <w:rsid w:val="00383AB0"/>
    <w:rsid w:val="0038437A"/>
    <w:rsid w:val="003847BB"/>
    <w:rsid w:val="00384814"/>
    <w:rsid w:val="00384C0A"/>
    <w:rsid w:val="00384F29"/>
    <w:rsid w:val="00385B16"/>
    <w:rsid w:val="00385B96"/>
    <w:rsid w:val="0038637D"/>
    <w:rsid w:val="00386C07"/>
    <w:rsid w:val="00386F58"/>
    <w:rsid w:val="0038700D"/>
    <w:rsid w:val="00390B8F"/>
    <w:rsid w:val="00390C0D"/>
    <w:rsid w:val="00391447"/>
    <w:rsid w:val="003919D9"/>
    <w:rsid w:val="00391BDD"/>
    <w:rsid w:val="003922DE"/>
    <w:rsid w:val="00392E35"/>
    <w:rsid w:val="00393551"/>
    <w:rsid w:val="00393FCD"/>
    <w:rsid w:val="003944EA"/>
    <w:rsid w:val="00394639"/>
    <w:rsid w:val="00394C5F"/>
    <w:rsid w:val="00394DF6"/>
    <w:rsid w:val="003962E6"/>
    <w:rsid w:val="0039648A"/>
    <w:rsid w:val="00396831"/>
    <w:rsid w:val="00396972"/>
    <w:rsid w:val="003971A1"/>
    <w:rsid w:val="003A12B6"/>
    <w:rsid w:val="003A20D5"/>
    <w:rsid w:val="003A24CC"/>
    <w:rsid w:val="003A2EE8"/>
    <w:rsid w:val="003A373C"/>
    <w:rsid w:val="003A5378"/>
    <w:rsid w:val="003A6008"/>
    <w:rsid w:val="003A703F"/>
    <w:rsid w:val="003A783B"/>
    <w:rsid w:val="003A7E2B"/>
    <w:rsid w:val="003A7E40"/>
    <w:rsid w:val="003B0046"/>
    <w:rsid w:val="003B0336"/>
    <w:rsid w:val="003B0A3A"/>
    <w:rsid w:val="003B0D79"/>
    <w:rsid w:val="003B15FE"/>
    <w:rsid w:val="003B2930"/>
    <w:rsid w:val="003B31A7"/>
    <w:rsid w:val="003B367F"/>
    <w:rsid w:val="003B430E"/>
    <w:rsid w:val="003B47DE"/>
    <w:rsid w:val="003B4B51"/>
    <w:rsid w:val="003B514E"/>
    <w:rsid w:val="003B636A"/>
    <w:rsid w:val="003B69CE"/>
    <w:rsid w:val="003C011C"/>
    <w:rsid w:val="003C0B60"/>
    <w:rsid w:val="003C151C"/>
    <w:rsid w:val="003C1B97"/>
    <w:rsid w:val="003C3292"/>
    <w:rsid w:val="003C3C1E"/>
    <w:rsid w:val="003C4134"/>
    <w:rsid w:val="003C435B"/>
    <w:rsid w:val="003C48B4"/>
    <w:rsid w:val="003C4EBE"/>
    <w:rsid w:val="003C62EC"/>
    <w:rsid w:val="003C685A"/>
    <w:rsid w:val="003C6E9C"/>
    <w:rsid w:val="003C7393"/>
    <w:rsid w:val="003C746F"/>
    <w:rsid w:val="003C76E6"/>
    <w:rsid w:val="003C7F12"/>
    <w:rsid w:val="003D03D6"/>
    <w:rsid w:val="003D14C8"/>
    <w:rsid w:val="003D1517"/>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4048"/>
    <w:rsid w:val="003E412B"/>
    <w:rsid w:val="003E60DA"/>
    <w:rsid w:val="003E616A"/>
    <w:rsid w:val="003E6E00"/>
    <w:rsid w:val="003E7111"/>
    <w:rsid w:val="003E7940"/>
    <w:rsid w:val="003F01BD"/>
    <w:rsid w:val="003F01C2"/>
    <w:rsid w:val="003F0486"/>
    <w:rsid w:val="003F048E"/>
    <w:rsid w:val="003F0AFF"/>
    <w:rsid w:val="003F26DC"/>
    <w:rsid w:val="003F3EFD"/>
    <w:rsid w:val="003F42FF"/>
    <w:rsid w:val="003F4B48"/>
    <w:rsid w:val="003F4DDC"/>
    <w:rsid w:val="003F56B8"/>
    <w:rsid w:val="003F6327"/>
    <w:rsid w:val="003F765B"/>
    <w:rsid w:val="003F7CB8"/>
    <w:rsid w:val="00400CB4"/>
    <w:rsid w:val="00401386"/>
    <w:rsid w:val="004013E6"/>
    <w:rsid w:val="0040188F"/>
    <w:rsid w:val="00401E31"/>
    <w:rsid w:val="00402BBA"/>
    <w:rsid w:val="004035D0"/>
    <w:rsid w:val="00403795"/>
    <w:rsid w:val="004041FB"/>
    <w:rsid w:val="004056B6"/>
    <w:rsid w:val="00405764"/>
    <w:rsid w:val="00405918"/>
    <w:rsid w:val="00405D4E"/>
    <w:rsid w:val="00406745"/>
    <w:rsid w:val="0040674B"/>
    <w:rsid w:val="00406B32"/>
    <w:rsid w:val="004074FA"/>
    <w:rsid w:val="00407A56"/>
    <w:rsid w:val="00407FCC"/>
    <w:rsid w:val="0041035A"/>
    <w:rsid w:val="004112D1"/>
    <w:rsid w:val="004113C9"/>
    <w:rsid w:val="004120DF"/>
    <w:rsid w:val="00413CB7"/>
    <w:rsid w:val="004145C8"/>
    <w:rsid w:val="00414909"/>
    <w:rsid w:val="00415034"/>
    <w:rsid w:val="004158D0"/>
    <w:rsid w:val="004159A8"/>
    <w:rsid w:val="00415B1A"/>
    <w:rsid w:val="0041690F"/>
    <w:rsid w:val="00416D41"/>
    <w:rsid w:val="00417264"/>
    <w:rsid w:val="004173FB"/>
    <w:rsid w:val="004210C0"/>
    <w:rsid w:val="004211DD"/>
    <w:rsid w:val="00421762"/>
    <w:rsid w:val="00421D4B"/>
    <w:rsid w:val="00421ED8"/>
    <w:rsid w:val="00422907"/>
    <w:rsid w:val="00423125"/>
    <w:rsid w:val="00423309"/>
    <w:rsid w:val="004233AD"/>
    <w:rsid w:val="00424446"/>
    <w:rsid w:val="00425341"/>
    <w:rsid w:val="00425D8C"/>
    <w:rsid w:val="00426B2C"/>
    <w:rsid w:val="0042784A"/>
    <w:rsid w:val="00427FA8"/>
    <w:rsid w:val="0043026B"/>
    <w:rsid w:val="00430338"/>
    <w:rsid w:val="004306D4"/>
    <w:rsid w:val="00432099"/>
    <w:rsid w:val="00432ECA"/>
    <w:rsid w:val="0043554E"/>
    <w:rsid w:val="004355D4"/>
    <w:rsid w:val="004357B1"/>
    <w:rsid w:val="00435821"/>
    <w:rsid w:val="0043583E"/>
    <w:rsid w:val="00436CCE"/>
    <w:rsid w:val="00436D1D"/>
    <w:rsid w:val="00436EAD"/>
    <w:rsid w:val="004375E1"/>
    <w:rsid w:val="00437A2F"/>
    <w:rsid w:val="004401AE"/>
    <w:rsid w:val="00440262"/>
    <w:rsid w:val="004406BF"/>
    <w:rsid w:val="00440814"/>
    <w:rsid w:val="00442731"/>
    <w:rsid w:val="00442C12"/>
    <w:rsid w:val="004434DF"/>
    <w:rsid w:val="00443E1D"/>
    <w:rsid w:val="00445874"/>
    <w:rsid w:val="00445C38"/>
    <w:rsid w:val="00446C05"/>
    <w:rsid w:val="004475F7"/>
    <w:rsid w:val="004502AC"/>
    <w:rsid w:val="0045057B"/>
    <w:rsid w:val="0045069B"/>
    <w:rsid w:val="00450B22"/>
    <w:rsid w:val="00451709"/>
    <w:rsid w:val="00451A02"/>
    <w:rsid w:val="00451DB3"/>
    <w:rsid w:val="0045273A"/>
    <w:rsid w:val="0045277C"/>
    <w:rsid w:val="004543AB"/>
    <w:rsid w:val="00455967"/>
    <w:rsid w:val="00455F71"/>
    <w:rsid w:val="00456272"/>
    <w:rsid w:val="00456ECC"/>
    <w:rsid w:val="00457517"/>
    <w:rsid w:val="00457CF7"/>
    <w:rsid w:val="00457D37"/>
    <w:rsid w:val="0046028A"/>
    <w:rsid w:val="00460E68"/>
    <w:rsid w:val="004614BC"/>
    <w:rsid w:val="00461F80"/>
    <w:rsid w:val="0046240D"/>
    <w:rsid w:val="00463208"/>
    <w:rsid w:val="004633E6"/>
    <w:rsid w:val="0046351A"/>
    <w:rsid w:val="00463576"/>
    <w:rsid w:val="0046399D"/>
    <w:rsid w:val="00463EA4"/>
    <w:rsid w:val="00464C3F"/>
    <w:rsid w:val="00465A21"/>
    <w:rsid w:val="00465DE5"/>
    <w:rsid w:val="0046680A"/>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E7"/>
    <w:rsid w:val="00475BAB"/>
    <w:rsid w:val="004764C6"/>
    <w:rsid w:val="00476C2D"/>
    <w:rsid w:val="00476F97"/>
    <w:rsid w:val="00477247"/>
    <w:rsid w:val="004776BB"/>
    <w:rsid w:val="00480067"/>
    <w:rsid w:val="0048055E"/>
    <w:rsid w:val="00480C2B"/>
    <w:rsid w:val="00480DC5"/>
    <w:rsid w:val="004824A9"/>
    <w:rsid w:val="00483140"/>
    <w:rsid w:val="00483984"/>
    <w:rsid w:val="00483BC7"/>
    <w:rsid w:val="00483CF0"/>
    <w:rsid w:val="00484D4D"/>
    <w:rsid w:val="0048664F"/>
    <w:rsid w:val="004868AD"/>
    <w:rsid w:val="00486D00"/>
    <w:rsid w:val="00487173"/>
    <w:rsid w:val="00487FE1"/>
    <w:rsid w:val="004902A6"/>
    <w:rsid w:val="00490707"/>
    <w:rsid w:val="00490815"/>
    <w:rsid w:val="0049117E"/>
    <w:rsid w:val="00492410"/>
    <w:rsid w:val="00492503"/>
    <w:rsid w:val="0049277E"/>
    <w:rsid w:val="00492AF9"/>
    <w:rsid w:val="00492B76"/>
    <w:rsid w:val="0049333E"/>
    <w:rsid w:val="0049418F"/>
    <w:rsid w:val="0049553A"/>
    <w:rsid w:val="00495DC6"/>
    <w:rsid w:val="00496CCE"/>
    <w:rsid w:val="00497934"/>
    <w:rsid w:val="00497AAD"/>
    <w:rsid w:val="00497BD7"/>
    <w:rsid w:val="00497D1A"/>
    <w:rsid w:val="004A0C50"/>
    <w:rsid w:val="004A0DFE"/>
    <w:rsid w:val="004A1049"/>
    <w:rsid w:val="004A119D"/>
    <w:rsid w:val="004A1E2C"/>
    <w:rsid w:val="004A1EA7"/>
    <w:rsid w:val="004A2EF8"/>
    <w:rsid w:val="004A3A21"/>
    <w:rsid w:val="004A3BC2"/>
    <w:rsid w:val="004A47DE"/>
    <w:rsid w:val="004A4E3B"/>
    <w:rsid w:val="004A5C97"/>
    <w:rsid w:val="004A64F9"/>
    <w:rsid w:val="004A71C7"/>
    <w:rsid w:val="004B026C"/>
    <w:rsid w:val="004B0271"/>
    <w:rsid w:val="004B0BE8"/>
    <w:rsid w:val="004B0C18"/>
    <w:rsid w:val="004B0E4A"/>
    <w:rsid w:val="004B1679"/>
    <w:rsid w:val="004B18F4"/>
    <w:rsid w:val="004B1A98"/>
    <w:rsid w:val="004B2463"/>
    <w:rsid w:val="004B3012"/>
    <w:rsid w:val="004B305F"/>
    <w:rsid w:val="004B34C4"/>
    <w:rsid w:val="004B34E8"/>
    <w:rsid w:val="004B3981"/>
    <w:rsid w:val="004B3A03"/>
    <w:rsid w:val="004B419F"/>
    <w:rsid w:val="004B4EA9"/>
    <w:rsid w:val="004B5982"/>
    <w:rsid w:val="004B673A"/>
    <w:rsid w:val="004B69CE"/>
    <w:rsid w:val="004B6E50"/>
    <w:rsid w:val="004B7317"/>
    <w:rsid w:val="004B75B2"/>
    <w:rsid w:val="004C0647"/>
    <w:rsid w:val="004C0B22"/>
    <w:rsid w:val="004C0BF0"/>
    <w:rsid w:val="004C0D40"/>
    <w:rsid w:val="004C114F"/>
    <w:rsid w:val="004C11A9"/>
    <w:rsid w:val="004C1D6F"/>
    <w:rsid w:val="004C27CF"/>
    <w:rsid w:val="004C2CA7"/>
    <w:rsid w:val="004C4248"/>
    <w:rsid w:val="004C45C8"/>
    <w:rsid w:val="004C5F4B"/>
    <w:rsid w:val="004C612E"/>
    <w:rsid w:val="004C61B8"/>
    <w:rsid w:val="004C6C0A"/>
    <w:rsid w:val="004C6C6D"/>
    <w:rsid w:val="004C77FF"/>
    <w:rsid w:val="004C7DB0"/>
    <w:rsid w:val="004D0223"/>
    <w:rsid w:val="004D0762"/>
    <w:rsid w:val="004D16A3"/>
    <w:rsid w:val="004D1934"/>
    <w:rsid w:val="004D1E41"/>
    <w:rsid w:val="004D2326"/>
    <w:rsid w:val="004D2E11"/>
    <w:rsid w:val="004D329C"/>
    <w:rsid w:val="004D34D1"/>
    <w:rsid w:val="004D3EC5"/>
    <w:rsid w:val="004D4523"/>
    <w:rsid w:val="004D51D6"/>
    <w:rsid w:val="004D6F29"/>
    <w:rsid w:val="004D700B"/>
    <w:rsid w:val="004D7BF5"/>
    <w:rsid w:val="004D7F9C"/>
    <w:rsid w:val="004E03F4"/>
    <w:rsid w:val="004E0449"/>
    <w:rsid w:val="004E068F"/>
    <w:rsid w:val="004E09CF"/>
    <w:rsid w:val="004E0B75"/>
    <w:rsid w:val="004E1D6F"/>
    <w:rsid w:val="004E2393"/>
    <w:rsid w:val="004E3117"/>
    <w:rsid w:val="004E3A2A"/>
    <w:rsid w:val="004E3AB1"/>
    <w:rsid w:val="004E4003"/>
    <w:rsid w:val="004E4626"/>
    <w:rsid w:val="004E4E79"/>
    <w:rsid w:val="004E5380"/>
    <w:rsid w:val="004E6746"/>
    <w:rsid w:val="004E6CAC"/>
    <w:rsid w:val="004E75C1"/>
    <w:rsid w:val="004E7732"/>
    <w:rsid w:val="004E777F"/>
    <w:rsid w:val="004E7E60"/>
    <w:rsid w:val="004F0610"/>
    <w:rsid w:val="004F07F2"/>
    <w:rsid w:val="004F07F9"/>
    <w:rsid w:val="004F0E82"/>
    <w:rsid w:val="004F1523"/>
    <w:rsid w:val="004F1847"/>
    <w:rsid w:val="004F1F9E"/>
    <w:rsid w:val="004F2CB6"/>
    <w:rsid w:val="004F2E6E"/>
    <w:rsid w:val="004F3015"/>
    <w:rsid w:val="004F30E2"/>
    <w:rsid w:val="004F313F"/>
    <w:rsid w:val="004F3EEF"/>
    <w:rsid w:val="004F43A7"/>
    <w:rsid w:val="004F447B"/>
    <w:rsid w:val="004F497C"/>
    <w:rsid w:val="004F4FE8"/>
    <w:rsid w:val="004F531B"/>
    <w:rsid w:val="004F560C"/>
    <w:rsid w:val="004F5DBB"/>
    <w:rsid w:val="004F61A3"/>
    <w:rsid w:val="004F6874"/>
    <w:rsid w:val="004F72BB"/>
    <w:rsid w:val="004F7922"/>
    <w:rsid w:val="004F7A1F"/>
    <w:rsid w:val="004F7B47"/>
    <w:rsid w:val="0050079C"/>
    <w:rsid w:val="0050106A"/>
    <w:rsid w:val="005010BC"/>
    <w:rsid w:val="0050537D"/>
    <w:rsid w:val="005060AE"/>
    <w:rsid w:val="00506690"/>
    <w:rsid w:val="005068C4"/>
    <w:rsid w:val="0050790B"/>
    <w:rsid w:val="00507BC5"/>
    <w:rsid w:val="0051037C"/>
    <w:rsid w:val="0051050F"/>
    <w:rsid w:val="0051056B"/>
    <w:rsid w:val="00510DDC"/>
    <w:rsid w:val="005131A2"/>
    <w:rsid w:val="00513BB9"/>
    <w:rsid w:val="0051440E"/>
    <w:rsid w:val="00514B53"/>
    <w:rsid w:val="00515061"/>
    <w:rsid w:val="00515502"/>
    <w:rsid w:val="00515973"/>
    <w:rsid w:val="00517AC8"/>
    <w:rsid w:val="00517C3E"/>
    <w:rsid w:val="00520C63"/>
    <w:rsid w:val="00520E31"/>
    <w:rsid w:val="005212F4"/>
    <w:rsid w:val="00521908"/>
    <w:rsid w:val="0052397A"/>
    <w:rsid w:val="00524138"/>
    <w:rsid w:val="00524154"/>
    <w:rsid w:val="005256D6"/>
    <w:rsid w:val="00525AD8"/>
    <w:rsid w:val="00526429"/>
    <w:rsid w:val="005266C1"/>
    <w:rsid w:val="005267F4"/>
    <w:rsid w:val="005268C4"/>
    <w:rsid w:val="00527317"/>
    <w:rsid w:val="00527ED6"/>
    <w:rsid w:val="00527F6A"/>
    <w:rsid w:val="00531064"/>
    <w:rsid w:val="00531E92"/>
    <w:rsid w:val="005322F1"/>
    <w:rsid w:val="005324D7"/>
    <w:rsid w:val="005335A2"/>
    <w:rsid w:val="00533A13"/>
    <w:rsid w:val="00533D52"/>
    <w:rsid w:val="00533DEC"/>
    <w:rsid w:val="0053618A"/>
    <w:rsid w:val="005362D2"/>
    <w:rsid w:val="00536B03"/>
    <w:rsid w:val="00537456"/>
    <w:rsid w:val="005405B2"/>
    <w:rsid w:val="0054076A"/>
    <w:rsid w:val="00540D47"/>
    <w:rsid w:val="00540EE7"/>
    <w:rsid w:val="00541A22"/>
    <w:rsid w:val="00541EAD"/>
    <w:rsid w:val="005424C2"/>
    <w:rsid w:val="005426B2"/>
    <w:rsid w:val="00543519"/>
    <w:rsid w:val="00543640"/>
    <w:rsid w:val="005444C6"/>
    <w:rsid w:val="00544BF9"/>
    <w:rsid w:val="00544F05"/>
    <w:rsid w:val="005454B8"/>
    <w:rsid w:val="00545ACB"/>
    <w:rsid w:val="00545B81"/>
    <w:rsid w:val="00545DB9"/>
    <w:rsid w:val="00546BF8"/>
    <w:rsid w:val="00547BA2"/>
    <w:rsid w:val="00550AC5"/>
    <w:rsid w:val="00550B7E"/>
    <w:rsid w:val="00551052"/>
    <w:rsid w:val="005524ED"/>
    <w:rsid w:val="00553948"/>
    <w:rsid w:val="00554C03"/>
    <w:rsid w:val="00554C58"/>
    <w:rsid w:val="005550F9"/>
    <w:rsid w:val="00556338"/>
    <w:rsid w:val="00556441"/>
    <w:rsid w:val="00557031"/>
    <w:rsid w:val="00557C4C"/>
    <w:rsid w:val="00557DC7"/>
    <w:rsid w:val="00560FCB"/>
    <w:rsid w:val="00561055"/>
    <w:rsid w:val="0056111C"/>
    <w:rsid w:val="00561140"/>
    <w:rsid w:val="00561412"/>
    <w:rsid w:val="00561903"/>
    <w:rsid w:val="00561A9B"/>
    <w:rsid w:val="00561E54"/>
    <w:rsid w:val="00562FB1"/>
    <w:rsid w:val="00563068"/>
    <w:rsid w:val="0056376A"/>
    <w:rsid w:val="00563B3C"/>
    <w:rsid w:val="005646DD"/>
    <w:rsid w:val="00564DA7"/>
    <w:rsid w:val="00565204"/>
    <w:rsid w:val="00565473"/>
    <w:rsid w:val="0056552E"/>
    <w:rsid w:val="005658F3"/>
    <w:rsid w:val="00565DAC"/>
    <w:rsid w:val="00565F0D"/>
    <w:rsid w:val="005662DC"/>
    <w:rsid w:val="00566329"/>
    <w:rsid w:val="00567623"/>
    <w:rsid w:val="00567FBF"/>
    <w:rsid w:val="005701C2"/>
    <w:rsid w:val="00573560"/>
    <w:rsid w:val="00574E7B"/>
    <w:rsid w:val="00576B5C"/>
    <w:rsid w:val="00577540"/>
    <w:rsid w:val="005802F9"/>
    <w:rsid w:val="00580456"/>
    <w:rsid w:val="00580DFC"/>
    <w:rsid w:val="005827A7"/>
    <w:rsid w:val="00582C04"/>
    <w:rsid w:val="00583D43"/>
    <w:rsid w:val="005846C3"/>
    <w:rsid w:val="00584F04"/>
    <w:rsid w:val="00585623"/>
    <w:rsid w:val="005857F7"/>
    <w:rsid w:val="00585896"/>
    <w:rsid w:val="0058635A"/>
    <w:rsid w:val="00587D7B"/>
    <w:rsid w:val="005904DB"/>
    <w:rsid w:val="00592825"/>
    <w:rsid w:val="00593D6D"/>
    <w:rsid w:val="00594437"/>
    <w:rsid w:val="00594B70"/>
    <w:rsid w:val="00596CFA"/>
    <w:rsid w:val="005975CE"/>
    <w:rsid w:val="005A0088"/>
    <w:rsid w:val="005A04F6"/>
    <w:rsid w:val="005A11FE"/>
    <w:rsid w:val="005A14F0"/>
    <w:rsid w:val="005A1726"/>
    <w:rsid w:val="005A1861"/>
    <w:rsid w:val="005A1A31"/>
    <w:rsid w:val="005A361D"/>
    <w:rsid w:val="005A36C2"/>
    <w:rsid w:val="005A3719"/>
    <w:rsid w:val="005A3A2F"/>
    <w:rsid w:val="005A3D7F"/>
    <w:rsid w:val="005A3DD7"/>
    <w:rsid w:val="005A4C20"/>
    <w:rsid w:val="005A4F48"/>
    <w:rsid w:val="005A54F1"/>
    <w:rsid w:val="005A5DDE"/>
    <w:rsid w:val="005A64A8"/>
    <w:rsid w:val="005A65C5"/>
    <w:rsid w:val="005A6875"/>
    <w:rsid w:val="005A6C51"/>
    <w:rsid w:val="005A7A32"/>
    <w:rsid w:val="005A7F85"/>
    <w:rsid w:val="005B00DD"/>
    <w:rsid w:val="005B07D5"/>
    <w:rsid w:val="005B1AAB"/>
    <w:rsid w:val="005B2930"/>
    <w:rsid w:val="005B2B87"/>
    <w:rsid w:val="005B33C8"/>
    <w:rsid w:val="005B387B"/>
    <w:rsid w:val="005B3B01"/>
    <w:rsid w:val="005B40EA"/>
    <w:rsid w:val="005B4333"/>
    <w:rsid w:val="005B48BE"/>
    <w:rsid w:val="005B58F7"/>
    <w:rsid w:val="005B5994"/>
    <w:rsid w:val="005B6474"/>
    <w:rsid w:val="005B666D"/>
    <w:rsid w:val="005B667A"/>
    <w:rsid w:val="005C039B"/>
    <w:rsid w:val="005C059F"/>
    <w:rsid w:val="005C07CE"/>
    <w:rsid w:val="005C0B8F"/>
    <w:rsid w:val="005C194E"/>
    <w:rsid w:val="005C1DB1"/>
    <w:rsid w:val="005C226F"/>
    <w:rsid w:val="005C2294"/>
    <w:rsid w:val="005C3344"/>
    <w:rsid w:val="005C367B"/>
    <w:rsid w:val="005C4E4D"/>
    <w:rsid w:val="005C4F67"/>
    <w:rsid w:val="005C58F2"/>
    <w:rsid w:val="005C5A97"/>
    <w:rsid w:val="005C6230"/>
    <w:rsid w:val="005C6D5D"/>
    <w:rsid w:val="005C6FD0"/>
    <w:rsid w:val="005D01C3"/>
    <w:rsid w:val="005D05FF"/>
    <w:rsid w:val="005D0FB4"/>
    <w:rsid w:val="005D1176"/>
    <w:rsid w:val="005D1747"/>
    <w:rsid w:val="005D266D"/>
    <w:rsid w:val="005D2A72"/>
    <w:rsid w:val="005D2BD7"/>
    <w:rsid w:val="005D306D"/>
    <w:rsid w:val="005D3327"/>
    <w:rsid w:val="005D5BCF"/>
    <w:rsid w:val="005D6D84"/>
    <w:rsid w:val="005D70A1"/>
    <w:rsid w:val="005D79F2"/>
    <w:rsid w:val="005D7D14"/>
    <w:rsid w:val="005E0141"/>
    <w:rsid w:val="005E09CA"/>
    <w:rsid w:val="005E1AB4"/>
    <w:rsid w:val="005E1F48"/>
    <w:rsid w:val="005E30BB"/>
    <w:rsid w:val="005E4543"/>
    <w:rsid w:val="005E56C9"/>
    <w:rsid w:val="005E5CF7"/>
    <w:rsid w:val="005E6009"/>
    <w:rsid w:val="005E642A"/>
    <w:rsid w:val="005E721E"/>
    <w:rsid w:val="005E72E7"/>
    <w:rsid w:val="005F0857"/>
    <w:rsid w:val="005F15A9"/>
    <w:rsid w:val="005F1C2F"/>
    <w:rsid w:val="005F2CD5"/>
    <w:rsid w:val="005F3720"/>
    <w:rsid w:val="005F49E1"/>
    <w:rsid w:val="005F5506"/>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42CD"/>
    <w:rsid w:val="00605217"/>
    <w:rsid w:val="0060533A"/>
    <w:rsid w:val="006054A5"/>
    <w:rsid w:val="006059E4"/>
    <w:rsid w:val="006062A0"/>
    <w:rsid w:val="00606EDF"/>
    <w:rsid w:val="0061098D"/>
    <w:rsid w:val="00611B59"/>
    <w:rsid w:val="00611FBA"/>
    <w:rsid w:val="0061272A"/>
    <w:rsid w:val="00613AA2"/>
    <w:rsid w:val="00613E58"/>
    <w:rsid w:val="006155F1"/>
    <w:rsid w:val="00615846"/>
    <w:rsid w:val="006160F0"/>
    <w:rsid w:val="0061623D"/>
    <w:rsid w:val="0061624B"/>
    <w:rsid w:val="00616C1E"/>
    <w:rsid w:val="006172C8"/>
    <w:rsid w:val="00617EFC"/>
    <w:rsid w:val="00620055"/>
    <w:rsid w:val="006204B3"/>
    <w:rsid w:val="006212D3"/>
    <w:rsid w:val="00623169"/>
    <w:rsid w:val="00623571"/>
    <w:rsid w:val="00623A5E"/>
    <w:rsid w:val="00623CA9"/>
    <w:rsid w:val="00625008"/>
    <w:rsid w:val="0062626B"/>
    <w:rsid w:val="00626930"/>
    <w:rsid w:val="00626952"/>
    <w:rsid w:val="00626BAC"/>
    <w:rsid w:val="006271C3"/>
    <w:rsid w:val="00627B14"/>
    <w:rsid w:val="0063001E"/>
    <w:rsid w:val="00630023"/>
    <w:rsid w:val="00630C70"/>
    <w:rsid w:val="00630D67"/>
    <w:rsid w:val="00631005"/>
    <w:rsid w:val="00632727"/>
    <w:rsid w:val="00633769"/>
    <w:rsid w:val="00633924"/>
    <w:rsid w:val="00633E8B"/>
    <w:rsid w:val="00633F72"/>
    <w:rsid w:val="00633FE3"/>
    <w:rsid w:val="00634570"/>
    <w:rsid w:val="0063487C"/>
    <w:rsid w:val="00635408"/>
    <w:rsid w:val="00635B73"/>
    <w:rsid w:val="00635BB7"/>
    <w:rsid w:val="006363D8"/>
    <w:rsid w:val="00636CC7"/>
    <w:rsid w:val="00637833"/>
    <w:rsid w:val="00637F27"/>
    <w:rsid w:val="00640D22"/>
    <w:rsid w:val="00641863"/>
    <w:rsid w:val="00641A84"/>
    <w:rsid w:val="00641DA1"/>
    <w:rsid w:val="00641E5B"/>
    <w:rsid w:val="00642784"/>
    <w:rsid w:val="00643F89"/>
    <w:rsid w:val="00644BED"/>
    <w:rsid w:val="00644E2E"/>
    <w:rsid w:val="00645B87"/>
    <w:rsid w:val="00645CB4"/>
    <w:rsid w:val="00646084"/>
    <w:rsid w:val="0064650B"/>
    <w:rsid w:val="00646D7F"/>
    <w:rsid w:val="00647664"/>
    <w:rsid w:val="00647700"/>
    <w:rsid w:val="00652CF5"/>
    <w:rsid w:val="0065343E"/>
    <w:rsid w:val="0065398F"/>
    <w:rsid w:val="00653C7C"/>
    <w:rsid w:val="00654252"/>
    <w:rsid w:val="006543B7"/>
    <w:rsid w:val="00654EA5"/>
    <w:rsid w:val="0065587E"/>
    <w:rsid w:val="006558CD"/>
    <w:rsid w:val="00655C26"/>
    <w:rsid w:val="0065637A"/>
    <w:rsid w:val="00656998"/>
    <w:rsid w:val="00656A5C"/>
    <w:rsid w:val="00656DDD"/>
    <w:rsid w:val="00656E4D"/>
    <w:rsid w:val="00656FE1"/>
    <w:rsid w:val="006576BA"/>
    <w:rsid w:val="0066233D"/>
    <w:rsid w:val="00662D3D"/>
    <w:rsid w:val="00662F1F"/>
    <w:rsid w:val="00665030"/>
    <w:rsid w:val="00665670"/>
    <w:rsid w:val="006659EA"/>
    <w:rsid w:val="006661E8"/>
    <w:rsid w:val="00666424"/>
    <w:rsid w:val="00666CFF"/>
    <w:rsid w:val="006673B9"/>
    <w:rsid w:val="0066790C"/>
    <w:rsid w:val="00670C7C"/>
    <w:rsid w:val="00671480"/>
    <w:rsid w:val="006717E7"/>
    <w:rsid w:val="00671FD5"/>
    <w:rsid w:val="006720BC"/>
    <w:rsid w:val="00672BF5"/>
    <w:rsid w:val="00672C73"/>
    <w:rsid w:val="00673B64"/>
    <w:rsid w:val="00675430"/>
    <w:rsid w:val="006755F0"/>
    <w:rsid w:val="00675749"/>
    <w:rsid w:val="00677382"/>
    <w:rsid w:val="0067772D"/>
    <w:rsid w:val="00677AD2"/>
    <w:rsid w:val="00677C50"/>
    <w:rsid w:val="00680714"/>
    <w:rsid w:val="0068071D"/>
    <w:rsid w:val="00680C6B"/>
    <w:rsid w:val="00681240"/>
    <w:rsid w:val="0068245F"/>
    <w:rsid w:val="00683068"/>
    <w:rsid w:val="00683DAD"/>
    <w:rsid w:val="00683F3D"/>
    <w:rsid w:val="00684963"/>
    <w:rsid w:val="00685033"/>
    <w:rsid w:val="00685123"/>
    <w:rsid w:val="0068517F"/>
    <w:rsid w:val="00685483"/>
    <w:rsid w:val="00685D65"/>
    <w:rsid w:val="00685FC8"/>
    <w:rsid w:val="00686E80"/>
    <w:rsid w:val="0068790B"/>
    <w:rsid w:val="00687AF2"/>
    <w:rsid w:val="006901AC"/>
    <w:rsid w:val="00690C8D"/>
    <w:rsid w:val="00691890"/>
    <w:rsid w:val="00691AAD"/>
    <w:rsid w:val="00692416"/>
    <w:rsid w:val="00692AFF"/>
    <w:rsid w:val="00693B73"/>
    <w:rsid w:val="006945A1"/>
    <w:rsid w:val="006945DD"/>
    <w:rsid w:val="00694A53"/>
    <w:rsid w:val="00694E38"/>
    <w:rsid w:val="00695AB4"/>
    <w:rsid w:val="00695C78"/>
    <w:rsid w:val="00695E6C"/>
    <w:rsid w:val="00695EAC"/>
    <w:rsid w:val="00696182"/>
    <w:rsid w:val="00697068"/>
    <w:rsid w:val="00697C59"/>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B0580"/>
    <w:rsid w:val="006B0DA2"/>
    <w:rsid w:val="006B1486"/>
    <w:rsid w:val="006B1D06"/>
    <w:rsid w:val="006B1E7E"/>
    <w:rsid w:val="006B2823"/>
    <w:rsid w:val="006B29DC"/>
    <w:rsid w:val="006B33DB"/>
    <w:rsid w:val="006B3669"/>
    <w:rsid w:val="006B36E5"/>
    <w:rsid w:val="006B3D00"/>
    <w:rsid w:val="006B4CF8"/>
    <w:rsid w:val="006B5FBC"/>
    <w:rsid w:val="006B6ED2"/>
    <w:rsid w:val="006C0230"/>
    <w:rsid w:val="006C0309"/>
    <w:rsid w:val="006C12B4"/>
    <w:rsid w:val="006C1721"/>
    <w:rsid w:val="006C25AB"/>
    <w:rsid w:val="006C2DA6"/>
    <w:rsid w:val="006C3581"/>
    <w:rsid w:val="006C3EFE"/>
    <w:rsid w:val="006C46C7"/>
    <w:rsid w:val="006C53A4"/>
    <w:rsid w:val="006C54DF"/>
    <w:rsid w:val="006C5D5D"/>
    <w:rsid w:val="006C6303"/>
    <w:rsid w:val="006C651D"/>
    <w:rsid w:val="006C6EBD"/>
    <w:rsid w:val="006C7AF7"/>
    <w:rsid w:val="006C7E04"/>
    <w:rsid w:val="006C7F79"/>
    <w:rsid w:val="006D015F"/>
    <w:rsid w:val="006D060E"/>
    <w:rsid w:val="006D0681"/>
    <w:rsid w:val="006D0A80"/>
    <w:rsid w:val="006D0E85"/>
    <w:rsid w:val="006D2F72"/>
    <w:rsid w:val="006D3BF8"/>
    <w:rsid w:val="006D43C1"/>
    <w:rsid w:val="006D5442"/>
    <w:rsid w:val="006D6E4E"/>
    <w:rsid w:val="006D72C1"/>
    <w:rsid w:val="006D7A8E"/>
    <w:rsid w:val="006E00E3"/>
    <w:rsid w:val="006E0196"/>
    <w:rsid w:val="006E045C"/>
    <w:rsid w:val="006E065E"/>
    <w:rsid w:val="006E0EDB"/>
    <w:rsid w:val="006E17AC"/>
    <w:rsid w:val="006E189B"/>
    <w:rsid w:val="006E2902"/>
    <w:rsid w:val="006E2F9D"/>
    <w:rsid w:val="006E37C6"/>
    <w:rsid w:val="006E3CF3"/>
    <w:rsid w:val="006E41ED"/>
    <w:rsid w:val="006E4667"/>
    <w:rsid w:val="006E486D"/>
    <w:rsid w:val="006E48BB"/>
    <w:rsid w:val="006E4A16"/>
    <w:rsid w:val="006E591A"/>
    <w:rsid w:val="006F01FF"/>
    <w:rsid w:val="006F0CB2"/>
    <w:rsid w:val="006F1C8A"/>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71A6"/>
    <w:rsid w:val="006F7974"/>
    <w:rsid w:val="006F7C2C"/>
    <w:rsid w:val="00700405"/>
    <w:rsid w:val="00700D18"/>
    <w:rsid w:val="0070168D"/>
    <w:rsid w:val="00701C36"/>
    <w:rsid w:val="00702F2D"/>
    <w:rsid w:val="0070353F"/>
    <w:rsid w:val="0070412C"/>
    <w:rsid w:val="0070415E"/>
    <w:rsid w:val="00704E7D"/>
    <w:rsid w:val="00705060"/>
    <w:rsid w:val="00705351"/>
    <w:rsid w:val="00705CD1"/>
    <w:rsid w:val="00705DAF"/>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4AC9"/>
    <w:rsid w:val="007154D8"/>
    <w:rsid w:val="00715577"/>
    <w:rsid w:val="00715975"/>
    <w:rsid w:val="0071604D"/>
    <w:rsid w:val="00716C67"/>
    <w:rsid w:val="0071779C"/>
    <w:rsid w:val="00717808"/>
    <w:rsid w:val="007208A7"/>
    <w:rsid w:val="007210F6"/>
    <w:rsid w:val="0072129A"/>
    <w:rsid w:val="0072139F"/>
    <w:rsid w:val="00721FC3"/>
    <w:rsid w:val="00722A86"/>
    <w:rsid w:val="00722BC6"/>
    <w:rsid w:val="00722C69"/>
    <w:rsid w:val="0072388C"/>
    <w:rsid w:val="00724FE4"/>
    <w:rsid w:val="00725E72"/>
    <w:rsid w:val="0072608B"/>
    <w:rsid w:val="007263A2"/>
    <w:rsid w:val="007266B9"/>
    <w:rsid w:val="00727351"/>
    <w:rsid w:val="00727AC5"/>
    <w:rsid w:val="00727C65"/>
    <w:rsid w:val="007300F0"/>
    <w:rsid w:val="00730EB5"/>
    <w:rsid w:val="0073245C"/>
    <w:rsid w:val="00732493"/>
    <w:rsid w:val="00733230"/>
    <w:rsid w:val="00733A43"/>
    <w:rsid w:val="00733D5F"/>
    <w:rsid w:val="00733FBB"/>
    <w:rsid w:val="00734932"/>
    <w:rsid w:val="00735D53"/>
    <w:rsid w:val="007364A3"/>
    <w:rsid w:val="007378FD"/>
    <w:rsid w:val="007403FE"/>
    <w:rsid w:val="007413EB"/>
    <w:rsid w:val="0074270C"/>
    <w:rsid w:val="00742D32"/>
    <w:rsid w:val="00742E9B"/>
    <w:rsid w:val="007444E6"/>
    <w:rsid w:val="00745262"/>
    <w:rsid w:val="0074592C"/>
    <w:rsid w:val="00746098"/>
    <w:rsid w:val="00746D58"/>
    <w:rsid w:val="00746E66"/>
    <w:rsid w:val="00747578"/>
    <w:rsid w:val="00751073"/>
    <w:rsid w:val="00751AF2"/>
    <w:rsid w:val="00751BD2"/>
    <w:rsid w:val="00752188"/>
    <w:rsid w:val="00752CC6"/>
    <w:rsid w:val="00753938"/>
    <w:rsid w:val="007543CE"/>
    <w:rsid w:val="00754558"/>
    <w:rsid w:val="0075497E"/>
    <w:rsid w:val="00754A29"/>
    <w:rsid w:val="00755989"/>
    <w:rsid w:val="00755BCF"/>
    <w:rsid w:val="00756100"/>
    <w:rsid w:val="00756C5F"/>
    <w:rsid w:val="00756D69"/>
    <w:rsid w:val="00757029"/>
    <w:rsid w:val="007602D4"/>
    <w:rsid w:val="00760D96"/>
    <w:rsid w:val="0076124A"/>
    <w:rsid w:val="0076161B"/>
    <w:rsid w:val="00761CB5"/>
    <w:rsid w:val="0076216B"/>
    <w:rsid w:val="00762547"/>
    <w:rsid w:val="00763137"/>
    <w:rsid w:val="00763F8B"/>
    <w:rsid w:val="0076417E"/>
    <w:rsid w:val="007662C7"/>
    <w:rsid w:val="00766862"/>
    <w:rsid w:val="0076743B"/>
    <w:rsid w:val="007675DD"/>
    <w:rsid w:val="007702BF"/>
    <w:rsid w:val="007705F0"/>
    <w:rsid w:val="00771CAC"/>
    <w:rsid w:val="00772036"/>
    <w:rsid w:val="00772E69"/>
    <w:rsid w:val="00773605"/>
    <w:rsid w:val="007739A3"/>
    <w:rsid w:val="007739FB"/>
    <w:rsid w:val="00773BD9"/>
    <w:rsid w:val="00773CB0"/>
    <w:rsid w:val="00773D71"/>
    <w:rsid w:val="007741C5"/>
    <w:rsid w:val="00774CA9"/>
    <w:rsid w:val="00775526"/>
    <w:rsid w:val="0077685B"/>
    <w:rsid w:val="0077765A"/>
    <w:rsid w:val="00780032"/>
    <w:rsid w:val="00780636"/>
    <w:rsid w:val="00780E86"/>
    <w:rsid w:val="00781727"/>
    <w:rsid w:val="00782805"/>
    <w:rsid w:val="00782CF3"/>
    <w:rsid w:val="007836BC"/>
    <w:rsid w:val="00783959"/>
    <w:rsid w:val="007869F9"/>
    <w:rsid w:val="00786CBB"/>
    <w:rsid w:val="00786E21"/>
    <w:rsid w:val="007878B5"/>
    <w:rsid w:val="0079038E"/>
    <w:rsid w:val="00790EBB"/>
    <w:rsid w:val="00791C6E"/>
    <w:rsid w:val="007921F7"/>
    <w:rsid w:val="00792909"/>
    <w:rsid w:val="00792BC6"/>
    <w:rsid w:val="00792C3F"/>
    <w:rsid w:val="00792EE2"/>
    <w:rsid w:val="00793105"/>
    <w:rsid w:val="007931E8"/>
    <w:rsid w:val="00793333"/>
    <w:rsid w:val="007939C7"/>
    <w:rsid w:val="0079460F"/>
    <w:rsid w:val="00794E46"/>
    <w:rsid w:val="007952DE"/>
    <w:rsid w:val="00795479"/>
    <w:rsid w:val="00796292"/>
    <w:rsid w:val="007965D9"/>
    <w:rsid w:val="007972D5"/>
    <w:rsid w:val="007A0789"/>
    <w:rsid w:val="007A0C00"/>
    <w:rsid w:val="007A130E"/>
    <w:rsid w:val="007A18B1"/>
    <w:rsid w:val="007A1BBD"/>
    <w:rsid w:val="007A1F08"/>
    <w:rsid w:val="007A25FA"/>
    <w:rsid w:val="007A317F"/>
    <w:rsid w:val="007A3520"/>
    <w:rsid w:val="007A3604"/>
    <w:rsid w:val="007A3878"/>
    <w:rsid w:val="007A3D85"/>
    <w:rsid w:val="007A3E0D"/>
    <w:rsid w:val="007A436D"/>
    <w:rsid w:val="007A54F6"/>
    <w:rsid w:val="007A5950"/>
    <w:rsid w:val="007A6D91"/>
    <w:rsid w:val="007A7618"/>
    <w:rsid w:val="007A7F61"/>
    <w:rsid w:val="007B02C7"/>
    <w:rsid w:val="007B0306"/>
    <w:rsid w:val="007B08E4"/>
    <w:rsid w:val="007B0D86"/>
    <w:rsid w:val="007B28C3"/>
    <w:rsid w:val="007B3A8E"/>
    <w:rsid w:val="007B3C9B"/>
    <w:rsid w:val="007B3EA0"/>
    <w:rsid w:val="007B4271"/>
    <w:rsid w:val="007B497D"/>
    <w:rsid w:val="007B4EE9"/>
    <w:rsid w:val="007B54C7"/>
    <w:rsid w:val="007B5DC5"/>
    <w:rsid w:val="007B5F32"/>
    <w:rsid w:val="007B63FC"/>
    <w:rsid w:val="007B6708"/>
    <w:rsid w:val="007B6E8D"/>
    <w:rsid w:val="007C0076"/>
    <w:rsid w:val="007C029E"/>
    <w:rsid w:val="007C0636"/>
    <w:rsid w:val="007C10E4"/>
    <w:rsid w:val="007C17B4"/>
    <w:rsid w:val="007C21C5"/>
    <w:rsid w:val="007C2229"/>
    <w:rsid w:val="007C3590"/>
    <w:rsid w:val="007C387A"/>
    <w:rsid w:val="007C43D6"/>
    <w:rsid w:val="007C47FF"/>
    <w:rsid w:val="007C660F"/>
    <w:rsid w:val="007C6664"/>
    <w:rsid w:val="007C69AE"/>
    <w:rsid w:val="007C6E23"/>
    <w:rsid w:val="007C6FE9"/>
    <w:rsid w:val="007C7688"/>
    <w:rsid w:val="007C76E3"/>
    <w:rsid w:val="007C7AF2"/>
    <w:rsid w:val="007C7DD9"/>
    <w:rsid w:val="007D0DC9"/>
    <w:rsid w:val="007D0ECD"/>
    <w:rsid w:val="007D2882"/>
    <w:rsid w:val="007D2C31"/>
    <w:rsid w:val="007D3D74"/>
    <w:rsid w:val="007D445F"/>
    <w:rsid w:val="007D4DED"/>
    <w:rsid w:val="007D513B"/>
    <w:rsid w:val="007D5BA2"/>
    <w:rsid w:val="007D5ED3"/>
    <w:rsid w:val="007D6FB9"/>
    <w:rsid w:val="007E0595"/>
    <w:rsid w:val="007E0A63"/>
    <w:rsid w:val="007E0C63"/>
    <w:rsid w:val="007E0E05"/>
    <w:rsid w:val="007E0F5D"/>
    <w:rsid w:val="007E217B"/>
    <w:rsid w:val="007E23A1"/>
    <w:rsid w:val="007E259F"/>
    <w:rsid w:val="007E2C23"/>
    <w:rsid w:val="007E5306"/>
    <w:rsid w:val="007E54B8"/>
    <w:rsid w:val="007E5921"/>
    <w:rsid w:val="007E5D12"/>
    <w:rsid w:val="007E677F"/>
    <w:rsid w:val="007E6B25"/>
    <w:rsid w:val="007F152D"/>
    <w:rsid w:val="007F20EE"/>
    <w:rsid w:val="007F2821"/>
    <w:rsid w:val="007F30C6"/>
    <w:rsid w:val="007F4318"/>
    <w:rsid w:val="007F4709"/>
    <w:rsid w:val="007F47DA"/>
    <w:rsid w:val="007F4B43"/>
    <w:rsid w:val="007F4E52"/>
    <w:rsid w:val="007F4F84"/>
    <w:rsid w:val="007F55A4"/>
    <w:rsid w:val="007F5A48"/>
    <w:rsid w:val="007F6260"/>
    <w:rsid w:val="007F6343"/>
    <w:rsid w:val="007F682B"/>
    <w:rsid w:val="007F6EE5"/>
    <w:rsid w:val="00800509"/>
    <w:rsid w:val="00800725"/>
    <w:rsid w:val="00800B7F"/>
    <w:rsid w:val="0080348B"/>
    <w:rsid w:val="00803D82"/>
    <w:rsid w:val="00803D98"/>
    <w:rsid w:val="008052CE"/>
    <w:rsid w:val="00806964"/>
    <w:rsid w:val="00806CD6"/>
    <w:rsid w:val="0080705B"/>
    <w:rsid w:val="0080723C"/>
    <w:rsid w:val="00807F71"/>
    <w:rsid w:val="0081000F"/>
    <w:rsid w:val="00812657"/>
    <w:rsid w:val="00812A1A"/>
    <w:rsid w:val="00812DFF"/>
    <w:rsid w:val="0081334D"/>
    <w:rsid w:val="0081383A"/>
    <w:rsid w:val="00814FC7"/>
    <w:rsid w:val="00815260"/>
    <w:rsid w:val="00817195"/>
    <w:rsid w:val="00817416"/>
    <w:rsid w:val="00820C4A"/>
    <w:rsid w:val="00821271"/>
    <w:rsid w:val="00821306"/>
    <w:rsid w:val="008213D9"/>
    <w:rsid w:val="00821D85"/>
    <w:rsid w:val="00823819"/>
    <w:rsid w:val="00823C4B"/>
    <w:rsid w:val="00823FB0"/>
    <w:rsid w:val="0082427D"/>
    <w:rsid w:val="00824AB1"/>
    <w:rsid w:val="00825441"/>
    <w:rsid w:val="0082797C"/>
    <w:rsid w:val="00830052"/>
    <w:rsid w:val="008300D0"/>
    <w:rsid w:val="00830384"/>
    <w:rsid w:val="008321CE"/>
    <w:rsid w:val="0083257C"/>
    <w:rsid w:val="0083261B"/>
    <w:rsid w:val="00832B44"/>
    <w:rsid w:val="00832EC9"/>
    <w:rsid w:val="00833307"/>
    <w:rsid w:val="00833583"/>
    <w:rsid w:val="00833B5B"/>
    <w:rsid w:val="00833E9A"/>
    <w:rsid w:val="00834FEF"/>
    <w:rsid w:val="00836323"/>
    <w:rsid w:val="00837E9B"/>
    <w:rsid w:val="008404AA"/>
    <w:rsid w:val="008406D7"/>
    <w:rsid w:val="0084074F"/>
    <w:rsid w:val="00840AAC"/>
    <w:rsid w:val="0084181B"/>
    <w:rsid w:val="00841F29"/>
    <w:rsid w:val="008425CC"/>
    <w:rsid w:val="00843BE2"/>
    <w:rsid w:val="00843D9F"/>
    <w:rsid w:val="008465B4"/>
    <w:rsid w:val="00846D25"/>
    <w:rsid w:val="00850013"/>
    <w:rsid w:val="008500DD"/>
    <w:rsid w:val="00850191"/>
    <w:rsid w:val="00851E96"/>
    <w:rsid w:val="00852FA5"/>
    <w:rsid w:val="00853B70"/>
    <w:rsid w:val="00853F7D"/>
    <w:rsid w:val="0085517F"/>
    <w:rsid w:val="0085562D"/>
    <w:rsid w:val="00855A78"/>
    <w:rsid w:val="00856012"/>
    <w:rsid w:val="00856154"/>
    <w:rsid w:val="00856286"/>
    <w:rsid w:val="0085657E"/>
    <w:rsid w:val="008576B0"/>
    <w:rsid w:val="0086003A"/>
    <w:rsid w:val="00860296"/>
    <w:rsid w:val="00860423"/>
    <w:rsid w:val="00860DA4"/>
    <w:rsid w:val="00860E97"/>
    <w:rsid w:val="00861390"/>
    <w:rsid w:val="00861948"/>
    <w:rsid w:val="00862011"/>
    <w:rsid w:val="00862A15"/>
    <w:rsid w:val="00862CC9"/>
    <w:rsid w:val="00862D8E"/>
    <w:rsid w:val="00862EF2"/>
    <w:rsid w:val="008650A5"/>
    <w:rsid w:val="00865C3D"/>
    <w:rsid w:val="00866453"/>
    <w:rsid w:val="0086707F"/>
    <w:rsid w:val="00867501"/>
    <w:rsid w:val="00867D8E"/>
    <w:rsid w:val="008700C0"/>
    <w:rsid w:val="0087066E"/>
    <w:rsid w:val="0087099A"/>
    <w:rsid w:val="00870D79"/>
    <w:rsid w:val="00871333"/>
    <w:rsid w:val="00872386"/>
    <w:rsid w:val="008726D7"/>
    <w:rsid w:val="0087278A"/>
    <w:rsid w:val="00873128"/>
    <w:rsid w:val="008735BC"/>
    <w:rsid w:val="00873AAC"/>
    <w:rsid w:val="00873C61"/>
    <w:rsid w:val="00873DFD"/>
    <w:rsid w:val="008745D9"/>
    <w:rsid w:val="008749BF"/>
    <w:rsid w:val="00875542"/>
    <w:rsid w:val="00875E14"/>
    <w:rsid w:val="008764B2"/>
    <w:rsid w:val="0087677E"/>
    <w:rsid w:val="0087712C"/>
    <w:rsid w:val="00877C5D"/>
    <w:rsid w:val="0088093C"/>
    <w:rsid w:val="00880BC0"/>
    <w:rsid w:val="00881D59"/>
    <w:rsid w:val="00884371"/>
    <w:rsid w:val="0088452F"/>
    <w:rsid w:val="00884B7A"/>
    <w:rsid w:val="00884D47"/>
    <w:rsid w:val="00886AFE"/>
    <w:rsid w:val="00887392"/>
    <w:rsid w:val="00890C40"/>
    <w:rsid w:val="00890C4B"/>
    <w:rsid w:val="008912A7"/>
    <w:rsid w:val="0089183A"/>
    <w:rsid w:val="008920B4"/>
    <w:rsid w:val="008925EB"/>
    <w:rsid w:val="008926F5"/>
    <w:rsid w:val="00893104"/>
    <w:rsid w:val="00893432"/>
    <w:rsid w:val="00893936"/>
    <w:rsid w:val="00893BFD"/>
    <w:rsid w:val="00893CE2"/>
    <w:rsid w:val="00893F41"/>
    <w:rsid w:val="00895144"/>
    <w:rsid w:val="0089594D"/>
    <w:rsid w:val="0089655C"/>
    <w:rsid w:val="008972B6"/>
    <w:rsid w:val="00897339"/>
    <w:rsid w:val="00897697"/>
    <w:rsid w:val="008977E1"/>
    <w:rsid w:val="008A0044"/>
    <w:rsid w:val="008A0BFE"/>
    <w:rsid w:val="008A1932"/>
    <w:rsid w:val="008A21D9"/>
    <w:rsid w:val="008A26A5"/>
    <w:rsid w:val="008A3182"/>
    <w:rsid w:val="008A3D54"/>
    <w:rsid w:val="008A411C"/>
    <w:rsid w:val="008A47CE"/>
    <w:rsid w:val="008A4D74"/>
    <w:rsid w:val="008A5933"/>
    <w:rsid w:val="008A5F2F"/>
    <w:rsid w:val="008A668F"/>
    <w:rsid w:val="008A6BAE"/>
    <w:rsid w:val="008A71FD"/>
    <w:rsid w:val="008A7350"/>
    <w:rsid w:val="008A7A72"/>
    <w:rsid w:val="008B09F3"/>
    <w:rsid w:val="008B0E77"/>
    <w:rsid w:val="008B16E6"/>
    <w:rsid w:val="008B1AB2"/>
    <w:rsid w:val="008B1D9B"/>
    <w:rsid w:val="008B2042"/>
    <w:rsid w:val="008B234E"/>
    <w:rsid w:val="008B25F1"/>
    <w:rsid w:val="008B32C9"/>
    <w:rsid w:val="008B3567"/>
    <w:rsid w:val="008B36D0"/>
    <w:rsid w:val="008B38AF"/>
    <w:rsid w:val="008B3E1B"/>
    <w:rsid w:val="008B3F4B"/>
    <w:rsid w:val="008B48EC"/>
    <w:rsid w:val="008B518E"/>
    <w:rsid w:val="008B69B8"/>
    <w:rsid w:val="008B7042"/>
    <w:rsid w:val="008B7271"/>
    <w:rsid w:val="008C094A"/>
    <w:rsid w:val="008C1570"/>
    <w:rsid w:val="008C1E3E"/>
    <w:rsid w:val="008C2059"/>
    <w:rsid w:val="008C2DBC"/>
    <w:rsid w:val="008C561E"/>
    <w:rsid w:val="008C5775"/>
    <w:rsid w:val="008C65F4"/>
    <w:rsid w:val="008C6683"/>
    <w:rsid w:val="008C7273"/>
    <w:rsid w:val="008D0E65"/>
    <w:rsid w:val="008D110A"/>
    <w:rsid w:val="008D1612"/>
    <w:rsid w:val="008D2259"/>
    <w:rsid w:val="008D313A"/>
    <w:rsid w:val="008D3381"/>
    <w:rsid w:val="008D33FE"/>
    <w:rsid w:val="008D3B9F"/>
    <w:rsid w:val="008D3D02"/>
    <w:rsid w:val="008D4226"/>
    <w:rsid w:val="008D54C0"/>
    <w:rsid w:val="008D5ED9"/>
    <w:rsid w:val="008D7567"/>
    <w:rsid w:val="008E0E86"/>
    <w:rsid w:val="008E0EE4"/>
    <w:rsid w:val="008E1C24"/>
    <w:rsid w:val="008E2626"/>
    <w:rsid w:val="008E27A9"/>
    <w:rsid w:val="008E323C"/>
    <w:rsid w:val="008E35A6"/>
    <w:rsid w:val="008E36D9"/>
    <w:rsid w:val="008E3A5C"/>
    <w:rsid w:val="008E3A9A"/>
    <w:rsid w:val="008E429E"/>
    <w:rsid w:val="008E4412"/>
    <w:rsid w:val="008E4D6D"/>
    <w:rsid w:val="008E5938"/>
    <w:rsid w:val="008F1D99"/>
    <w:rsid w:val="008F1E3D"/>
    <w:rsid w:val="008F2F11"/>
    <w:rsid w:val="008F33A6"/>
    <w:rsid w:val="008F35EC"/>
    <w:rsid w:val="008F4FE8"/>
    <w:rsid w:val="008F4FED"/>
    <w:rsid w:val="008F6200"/>
    <w:rsid w:val="008F62F8"/>
    <w:rsid w:val="008F6893"/>
    <w:rsid w:val="008F7292"/>
    <w:rsid w:val="009000F2"/>
    <w:rsid w:val="009000F6"/>
    <w:rsid w:val="0090079D"/>
    <w:rsid w:val="0090086A"/>
    <w:rsid w:val="00900D2C"/>
    <w:rsid w:val="00901659"/>
    <w:rsid w:val="00901807"/>
    <w:rsid w:val="00901945"/>
    <w:rsid w:val="00901F0E"/>
    <w:rsid w:val="0090408F"/>
    <w:rsid w:val="009043B7"/>
    <w:rsid w:val="0090446A"/>
    <w:rsid w:val="00904DC3"/>
    <w:rsid w:val="00905469"/>
    <w:rsid w:val="00905B0C"/>
    <w:rsid w:val="0090629C"/>
    <w:rsid w:val="00906D97"/>
    <w:rsid w:val="00906EA2"/>
    <w:rsid w:val="00907278"/>
    <w:rsid w:val="009077DC"/>
    <w:rsid w:val="00907D68"/>
    <w:rsid w:val="0091112B"/>
    <w:rsid w:val="009128B8"/>
    <w:rsid w:val="00913CFF"/>
    <w:rsid w:val="0091472C"/>
    <w:rsid w:val="00914FE8"/>
    <w:rsid w:val="00915351"/>
    <w:rsid w:val="00915679"/>
    <w:rsid w:val="009159C2"/>
    <w:rsid w:val="00916D22"/>
    <w:rsid w:val="0092077A"/>
    <w:rsid w:val="009219F3"/>
    <w:rsid w:val="00921DF4"/>
    <w:rsid w:val="009221CB"/>
    <w:rsid w:val="00922320"/>
    <w:rsid w:val="00923643"/>
    <w:rsid w:val="00923E1A"/>
    <w:rsid w:val="009243E5"/>
    <w:rsid w:val="0092490A"/>
    <w:rsid w:val="009251B9"/>
    <w:rsid w:val="00925A3E"/>
    <w:rsid w:val="00925BB2"/>
    <w:rsid w:val="009261DB"/>
    <w:rsid w:val="009264BF"/>
    <w:rsid w:val="00926939"/>
    <w:rsid w:val="00926F4C"/>
    <w:rsid w:val="0092724A"/>
    <w:rsid w:val="00927710"/>
    <w:rsid w:val="00931445"/>
    <w:rsid w:val="00931A2E"/>
    <w:rsid w:val="00931AB8"/>
    <w:rsid w:val="00931C63"/>
    <w:rsid w:val="00931D10"/>
    <w:rsid w:val="0093218A"/>
    <w:rsid w:val="0093386D"/>
    <w:rsid w:val="00934C8E"/>
    <w:rsid w:val="00935194"/>
    <w:rsid w:val="00935476"/>
    <w:rsid w:val="00935DEF"/>
    <w:rsid w:val="009365C7"/>
    <w:rsid w:val="00936EA5"/>
    <w:rsid w:val="00937114"/>
    <w:rsid w:val="0094015D"/>
    <w:rsid w:val="00941101"/>
    <w:rsid w:val="009418D4"/>
    <w:rsid w:val="00941B13"/>
    <w:rsid w:val="009441DB"/>
    <w:rsid w:val="00944834"/>
    <w:rsid w:val="00946128"/>
    <w:rsid w:val="0094633F"/>
    <w:rsid w:val="00946831"/>
    <w:rsid w:val="009475C1"/>
    <w:rsid w:val="009477CB"/>
    <w:rsid w:val="009477D9"/>
    <w:rsid w:val="00947BA5"/>
    <w:rsid w:val="00950805"/>
    <w:rsid w:val="0095121C"/>
    <w:rsid w:val="009517E4"/>
    <w:rsid w:val="009518D4"/>
    <w:rsid w:val="009520BC"/>
    <w:rsid w:val="009521D2"/>
    <w:rsid w:val="00952403"/>
    <w:rsid w:val="00952BD8"/>
    <w:rsid w:val="00953573"/>
    <w:rsid w:val="009535D2"/>
    <w:rsid w:val="009549EF"/>
    <w:rsid w:val="00955C64"/>
    <w:rsid w:val="00956647"/>
    <w:rsid w:val="00957409"/>
    <w:rsid w:val="00957499"/>
    <w:rsid w:val="00957BD6"/>
    <w:rsid w:val="00957ED2"/>
    <w:rsid w:val="00960DE4"/>
    <w:rsid w:val="00961164"/>
    <w:rsid w:val="00961A4F"/>
    <w:rsid w:val="00962B2E"/>
    <w:rsid w:val="00962D9E"/>
    <w:rsid w:val="00962FB8"/>
    <w:rsid w:val="0096373F"/>
    <w:rsid w:val="00964007"/>
    <w:rsid w:val="009643F4"/>
    <w:rsid w:val="00964E14"/>
    <w:rsid w:val="00964F5A"/>
    <w:rsid w:val="00965050"/>
    <w:rsid w:val="009653ED"/>
    <w:rsid w:val="00966AD2"/>
    <w:rsid w:val="009675A3"/>
    <w:rsid w:val="00967867"/>
    <w:rsid w:val="00967961"/>
    <w:rsid w:val="00967A38"/>
    <w:rsid w:val="009709E1"/>
    <w:rsid w:val="009716D8"/>
    <w:rsid w:val="00971F54"/>
    <w:rsid w:val="00971FBF"/>
    <w:rsid w:val="00972057"/>
    <w:rsid w:val="0097227B"/>
    <w:rsid w:val="0097262E"/>
    <w:rsid w:val="0097293F"/>
    <w:rsid w:val="00974022"/>
    <w:rsid w:val="00974F00"/>
    <w:rsid w:val="0097552A"/>
    <w:rsid w:val="0097564A"/>
    <w:rsid w:val="00976BBE"/>
    <w:rsid w:val="0097741F"/>
    <w:rsid w:val="0098055B"/>
    <w:rsid w:val="009810BE"/>
    <w:rsid w:val="009817BC"/>
    <w:rsid w:val="009819A7"/>
    <w:rsid w:val="0098220A"/>
    <w:rsid w:val="00983337"/>
    <w:rsid w:val="009851F5"/>
    <w:rsid w:val="0098534B"/>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61F"/>
    <w:rsid w:val="00995B01"/>
    <w:rsid w:val="00996EF4"/>
    <w:rsid w:val="00997044"/>
    <w:rsid w:val="00997BC9"/>
    <w:rsid w:val="009A2BE9"/>
    <w:rsid w:val="009A2BF3"/>
    <w:rsid w:val="009A3C3E"/>
    <w:rsid w:val="009A4C2C"/>
    <w:rsid w:val="009A520A"/>
    <w:rsid w:val="009A59B3"/>
    <w:rsid w:val="009A5F76"/>
    <w:rsid w:val="009A5FAE"/>
    <w:rsid w:val="009A7E7C"/>
    <w:rsid w:val="009B0479"/>
    <w:rsid w:val="009B05D2"/>
    <w:rsid w:val="009B0CEE"/>
    <w:rsid w:val="009B152B"/>
    <w:rsid w:val="009B2731"/>
    <w:rsid w:val="009B2DCF"/>
    <w:rsid w:val="009B3D38"/>
    <w:rsid w:val="009B4368"/>
    <w:rsid w:val="009B494C"/>
    <w:rsid w:val="009B7505"/>
    <w:rsid w:val="009C0020"/>
    <w:rsid w:val="009C03F7"/>
    <w:rsid w:val="009C10DA"/>
    <w:rsid w:val="009C1201"/>
    <w:rsid w:val="009C19FC"/>
    <w:rsid w:val="009C22FD"/>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48A"/>
    <w:rsid w:val="009C761E"/>
    <w:rsid w:val="009D03B7"/>
    <w:rsid w:val="009D07AD"/>
    <w:rsid w:val="009D0824"/>
    <w:rsid w:val="009D1654"/>
    <w:rsid w:val="009D1BDB"/>
    <w:rsid w:val="009D2F9C"/>
    <w:rsid w:val="009D3505"/>
    <w:rsid w:val="009D4207"/>
    <w:rsid w:val="009D4E4A"/>
    <w:rsid w:val="009D5130"/>
    <w:rsid w:val="009D53D1"/>
    <w:rsid w:val="009D53FB"/>
    <w:rsid w:val="009D6081"/>
    <w:rsid w:val="009D678C"/>
    <w:rsid w:val="009D6B9A"/>
    <w:rsid w:val="009D76B5"/>
    <w:rsid w:val="009D7BC7"/>
    <w:rsid w:val="009D7BD2"/>
    <w:rsid w:val="009D7FAC"/>
    <w:rsid w:val="009E0109"/>
    <w:rsid w:val="009E0342"/>
    <w:rsid w:val="009E098B"/>
    <w:rsid w:val="009E09AB"/>
    <w:rsid w:val="009E0A39"/>
    <w:rsid w:val="009E19BB"/>
    <w:rsid w:val="009E1C47"/>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DE8"/>
    <w:rsid w:val="009F2186"/>
    <w:rsid w:val="009F28DC"/>
    <w:rsid w:val="009F2EDB"/>
    <w:rsid w:val="009F33DC"/>
    <w:rsid w:val="009F385E"/>
    <w:rsid w:val="009F4550"/>
    <w:rsid w:val="009F56C0"/>
    <w:rsid w:val="009F5C76"/>
    <w:rsid w:val="009F612F"/>
    <w:rsid w:val="00A007B4"/>
    <w:rsid w:val="00A00CA0"/>
    <w:rsid w:val="00A00E00"/>
    <w:rsid w:val="00A01221"/>
    <w:rsid w:val="00A012A8"/>
    <w:rsid w:val="00A016FF"/>
    <w:rsid w:val="00A0188F"/>
    <w:rsid w:val="00A0207F"/>
    <w:rsid w:val="00A021AF"/>
    <w:rsid w:val="00A044AA"/>
    <w:rsid w:val="00A052F0"/>
    <w:rsid w:val="00A07F53"/>
    <w:rsid w:val="00A102F8"/>
    <w:rsid w:val="00A10A20"/>
    <w:rsid w:val="00A10FDE"/>
    <w:rsid w:val="00A117D5"/>
    <w:rsid w:val="00A11984"/>
    <w:rsid w:val="00A131F5"/>
    <w:rsid w:val="00A133C1"/>
    <w:rsid w:val="00A13414"/>
    <w:rsid w:val="00A13F2D"/>
    <w:rsid w:val="00A1475E"/>
    <w:rsid w:val="00A14F78"/>
    <w:rsid w:val="00A14F81"/>
    <w:rsid w:val="00A1535F"/>
    <w:rsid w:val="00A15CB1"/>
    <w:rsid w:val="00A15E84"/>
    <w:rsid w:val="00A16021"/>
    <w:rsid w:val="00A162C5"/>
    <w:rsid w:val="00A176DD"/>
    <w:rsid w:val="00A20FAD"/>
    <w:rsid w:val="00A22C3E"/>
    <w:rsid w:val="00A22C4D"/>
    <w:rsid w:val="00A23442"/>
    <w:rsid w:val="00A249D2"/>
    <w:rsid w:val="00A254AB"/>
    <w:rsid w:val="00A266CC"/>
    <w:rsid w:val="00A26DB4"/>
    <w:rsid w:val="00A27425"/>
    <w:rsid w:val="00A3023E"/>
    <w:rsid w:val="00A305C5"/>
    <w:rsid w:val="00A30919"/>
    <w:rsid w:val="00A31F05"/>
    <w:rsid w:val="00A31FD2"/>
    <w:rsid w:val="00A3404D"/>
    <w:rsid w:val="00A341AB"/>
    <w:rsid w:val="00A34290"/>
    <w:rsid w:val="00A355F9"/>
    <w:rsid w:val="00A35AA9"/>
    <w:rsid w:val="00A36D5C"/>
    <w:rsid w:val="00A37309"/>
    <w:rsid w:val="00A37558"/>
    <w:rsid w:val="00A3786A"/>
    <w:rsid w:val="00A37C3C"/>
    <w:rsid w:val="00A37D5D"/>
    <w:rsid w:val="00A4008C"/>
    <w:rsid w:val="00A402A8"/>
    <w:rsid w:val="00A40685"/>
    <w:rsid w:val="00A40E2F"/>
    <w:rsid w:val="00A41819"/>
    <w:rsid w:val="00A41C9A"/>
    <w:rsid w:val="00A41D73"/>
    <w:rsid w:val="00A429BD"/>
    <w:rsid w:val="00A42B2E"/>
    <w:rsid w:val="00A433E8"/>
    <w:rsid w:val="00A4358B"/>
    <w:rsid w:val="00A43A1D"/>
    <w:rsid w:val="00A44854"/>
    <w:rsid w:val="00A44A45"/>
    <w:rsid w:val="00A45E1A"/>
    <w:rsid w:val="00A46859"/>
    <w:rsid w:val="00A46D39"/>
    <w:rsid w:val="00A472B8"/>
    <w:rsid w:val="00A5004A"/>
    <w:rsid w:val="00A502F5"/>
    <w:rsid w:val="00A504F4"/>
    <w:rsid w:val="00A508AA"/>
    <w:rsid w:val="00A5172B"/>
    <w:rsid w:val="00A526CE"/>
    <w:rsid w:val="00A52A11"/>
    <w:rsid w:val="00A53B6E"/>
    <w:rsid w:val="00A5416E"/>
    <w:rsid w:val="00A54DC0"/>
    <w:rsid w:val="00A550C9"/>
    <w:rsid w:val="00A55228"/>
    <w:rsid w:val="00A55A04"/>
    <w:rsid w:val="00A564DE"/>
    <w:rsid w:val="00A6054E"/>
    <w:rsid w:val="00A60799"/>
    <w:rsid w:val="00A61B7F"/>
    <w:rsid w:val="00A61B91"/>
    <w:rsid w:val="00A62666"/>
    <w:rsid w:val="00A629CA"/>
    <w:rsid w:val="00A63016"/>
    <w:rsid w:val="00A63335"/>
    <w:rsid w:val="00A63685"/>
    <w:rsid w:val="00A63BFC"/>
    <w:rsid w:val="00A645AC"/>
    <w:rsid w:val="00A65EFB"/>
    <w:rsid w:val="00A66E28"/>
    <w:rsid w:val="00A67478"/>
    <w:rsid w:val="00A67CE9"/>
    <w:rsid w:val="00A67EC6"/>
    <w:rsid w:val="00A70590"/>
    <w:rsid w:val="00A7062E"/>
    <w:rsid w:val="00A70834"/>
    <w:rsid w:val="00A70923"/>
    <w:rsid w:val="00A71542"/>
    <w:rsid w:val="00A71FA0"/>
    <w:rsid w:val="00A720B1"/>
    <w:rsid w:val="00A72727"/>
    <w:rsid w:val="00A72C1A"/>
    <w:rsid w:val="00A7463E"/>
    <w:rsid w:val="00A750F3"/>
    <w:rsid w:val="00A758E2"/>
    <w:rsid w:val="00A765B1"/>
    <w:rsid w:val="00A772F2"/>
    <w:rsid w:val="00A77828"/>
    <w:rsid w:val="00A77C72"/>
    <w:rsid w:val="00A80089"/>
    <w:rsid w:val="00A800F9"/>
    <w:rsid w:val="00A8073D"/>
    <w:rsid w:val="00A80D02"/>
    <w:rsid w:val="00A82D32"/>
    <w:rsid w:val="00A82EAE"/>
    <w:rsid w:val="00A847F9"/>
    <w:rsid w:val="00A849F6"/>
    <w:rsid w:val="00A84F27"/>
    <w:rsid w:val="00A8519C"/>
    <w:rsid w:val="00A85F83"/>
    <w:rsid w:val="00A86019"/>
    <w:rsid w:val="00A86EED"/>
    <w:rsid w:val="00A8733A"/>
    <w:rsid w:val="00A90EC8"/>
    <w:rsid w:val="00A9196B"/>
    <w:rsid w:val="00A91BEE"/>
    <w:rsid w:val="00A91D4B"/>
    <w:rsid w:val="00A920B2"/>
    <w:rsid w:val="00A92675"/>
    <w:rsid w:val="00A92A96"/>
    <w:rsid w:val="00A92AF0"/>
    <w:rsid w:val="00A933FE"/>
    <w:rsid w:val="00A937D5"/>
    <w:rsid w:val="00A93C70"/>
    <w:rsid w:val="00A94A32"/>
    <w:rsid w:val="00A94AFC"/>
    <w:rsid w:val="00A96B4A"/>
    <w:rsid w:val="00A97462"/>
    <w:rsid w:val="00A97BDA"/>
    <w:rsid w:val="00AA0779"/>
    <w:rsid w:val="00AA08F3"/>
    <w:rsid w:val="00AA0F23"/>
    <w:rsid w:val="00AA1163"/>
    <w:rsid w:val="00AA1DA8"/>
    <w:rsid w:val="00AA222C"/>
    <w:rsid w:val="00AA238E"/>
    <w:rsid w:val="00AA253B"/>
    <w:rsid w:val="00AA29F8"/>
    <w:rsid w:val="00AA3243"/>
    <w:rsid w:val="00AA388F"/>
    <w:rsid w:val="00AA408E"/>
    <w:rsid w:val="00AA4F6D"/>
    <w:rsid w:val="00AA536B"/>
    <w:rsid w:val="00AA53AB"/>
    <w:rsid w:val="00AA5A5C"/>
    <w:rsid w:val="00AA5A6F"/>
    <w:rsid w:val="00AA5D94"/>
    <w:rsid w:val="00AA6F6C"/>
    <w:rsid w:val="00AA73DF"/>
    <w:rsid w:val="00AA7519"/>
    <w:rsid w:val="00AA790A"/>
    <w:rsid w:val="00AB02EA"/>
    <w:rsid w:val="00AB110C"/>
    <w:rsid w:val="00AB227A"/>
    <w:rsid w:val="00AB22BF"/>
    <w:rsid w:val="00AB256E"/>
    <w:rsid w:val="00AB3466"/>
    <w:rsid w:val="00AB3BBB"/>
    <w:rsid w:val="00AB3CDF"/>
    <w:rsid w:val="00AB406A"/>
    <w:rsid w:val="00AB408C"/>
    <w:rsid w:val="00AB4E41"/>
    <w:rsid w:val="00AB5EB1"/>
    <w:rsid w:val="00AB6003"/>
    <w:rsid w:val="00AB759A"/>
    <w:rsid w:val="00AB7B06"/>
    <w:rsid w:val="00AB7EAA"/>
    <w:rsid w:val="00AC0432"/>
    <w:rsid w:val="00AC0770"/>
    <w:rsid w:val="00AC1683"/>
    <w:rsid w:val="00AC1D82"/>
    <w:rsid w:val="00AC266A"/>
    <w:rsid w:val="00AC28CA"/>
    <w:rsid w:val="00AC4094"/>
    <w:rsid w:val="00AC42B6"/>
    <w:rsid w:val="00AC4AB7"/>
    <w:rsid w:val="00AC5859"/>
    <w:rsid w:val="00AC5C9B"/>
    <w:rsid w:val="00AC6225"/>
    <w:rsid w:val="00AC6D24"/>
    <w:rsid w:val="00AD1065"/>
    <w:rsid w:val="00AD2270"/>
    <w:rsid w:val="00AD2771"/>
    <w:rsid w:val="00AD3DA6"/>
    <w:rsid w:val="00AD3F3C"/>
    <w:rsid w:val="00AD4B2F"/>
    <w:rsid w:val="00AD5F0A"/>
    <w:rsid w:val="00AD6B4F"/>
    <w:rsid w:val="00AD7812"/>
    <w:rsid w:val="00AD7C42"/>
    <w:rsid w:val="00AD7CFA"/>
    <w:rsid w:val="00AE0BD6"/>
    <w:rsid w:val="00AE11C1"/>
    <w:rsid w:val="00AE163D"/>
    <w:rsid w:val="00AE1C5C"/>
    <w:rsid w:val="00AE315E"/>
    <w:rsid w:val="00AE319F"/>
    <w:rsid w:val="00AE31D9"/>
    <w:rsid w:val="00AE3792"/>
    <w:rsid w:val="00AE3CF0"/>
    <w:rsid w:val="00AE71EE"/>
    <w:rsid w:val="00AE75AC"/>
    <w:rsid w:val="00AE7FD3"/>
    <w:rsid w:val="00AF03CF"/>
    <w:rsid w:val="00AF0A0A"/>
    <w:rsid w:val="00AF14FC"/>
    <w:rsid w:val="00AF1ED2"/>
    <w:rsid w:val="00AF1F4E"/>
    <w:rsid w:val="00AF3557"/>
    <w:rsid w:val="00AF383C"/>
    <w:rsid w:val="00AF3F86"/>
    <w:rsid w:val="00AF4CEE"/>
    <w:rsid w:val="00AF5364"/>
    <w:rsid w:val="00AF584C"/>
    <w:rsid w:val="00AF5D84"/>
    <w:rsid w:val="00AF669D"/>
    <w:rsid w:val="00AF672C"/>
    <w:rsid w:val="00AF7389"/>
    <w:rsid w:val="00AF7C37"/>
    <w:rsid w:val="00B00378"/>
    <w:rsid w:val="00B00D91"/>
    <w:rsid w:val="00B00E84"/>
    <w:rsid w:val="00B038F1"/>
    <w:rsid w:val="00B03C1B"/>
    <w:rsid w:val="00B04678"/>
    <w:rsid w:val="00B04A04"/>
    <w:rsid w:val="00B04C37"/>
    <w:rsid w:val="00B04F00"/>
    <w:rsid w:val="00B05BA6"/>
    <w:rsid w:val="00B066FE"/>
    <w:rsid w:val="00B06912"/>
    <w:rsid w:val="00B10B04"/>
    <w:rsid w:val="00B10CC6"/>
    <w:rsid w:val="00B11A61"/>
    <w:rsid w:val="00B12082"/>
    <w:rsid w:val="00B124BE"/>
    <w:rsid w:val="00B1278A"/>
    <w:rsid w:val="00B13389"/>
    <w:rsid w:val="00B1364C"/>
    <w:rsid w:val="00B141A5"/>
    <w:rsid w:val="00B15286"/>
    <w:rsid w:val="00B1550D"/>
    <w:rsid w:val="00B159C0"/>
    <w:rsid w:val="00B15F6C"/>
    <w:rsid w:val="00B163E8"/>
    <w:rsid w:val="00B1666C"/>
    <w:rsid w:val="00B175F7"/>
    <w:rsid w:val="00B1767E"/>
    <w:rsid w:val="00B20760"/>
    <w:rsid w:val="00B21676"/>
    <w:rsid w:val="00B219E1"/>
    <w:rsid w:val="00B22150"/>
    <w:rsid w:val="00B226DE"/>
    <w:rsid w:val="00B239CD"/>
    <w:rsid w:val="00B241D5"/>
    <w:rsid w:val="00B248F0"/>
    <w:rsid w:val="00B24BE9"/>
    <w:rsid w:val="00B25956"/>
    <w:rsid w:val="00B25F8C"/>
    <w:rsid w:val="00B260BE"/>
    <w:rsid w:val="00B26677"/>
    <w:rsid w:val="00B269D0"/>
    <w:rsid w:val="00B26A96"/>
    <w:rsid w:val="00B274E3"/>
    <w:rsid w:val="00B2765C"/>
    <w:rsid w:val="00B27C4B"/>
    <w:rsid w:val="00B27FC0"/>
    <w:rsid w:val="00B30563"/>
    <w:rsid w:val="00B30A76"/>
    <w:rsid w:val="00B31204"/>
    <w:rsid w:val="00B31CB6"/>
    <w:rsid w:val="00B32295"/>
    <w:rsid w:val="00B32B21"/>
    <w:rsid w:val="00B33024"/>
    <w:rsid w:val="00B33AB5"/>
    <w:rsid w:val="00B3412E"/>
    <w:rsid w:val="00B367C4"/>
    <w:rsid w:val="00B36FF8"/>
    <w:rsid w:val="00B37B8E"/>
    <w:rsid w:val="00B40222"/>
    <w:rsid w:val="00B404C3"/>
    <w:rsid w:val="00B41BF4"/>
    <w:rsid w:val="00B42A76"/>
    <w:rsid w:val="00B4311F"/>
    <w:rsid w:val="00B431AE"/>
    <w:rsid w:val="00B448BF"/>
    <w:rsid w:val="00B45A59"/>
    <w:rsid w:val="00B45F9F"/>
    <w:rsid w:val="00B4627C"/>
    <w:rsid w:val="00B46793"/>
    <w:rsid w:val="00B46953"/>
    <w:rsid w:val="00B47455"/>
    <w:rsid w:val="00B47979"/>
    <w:rsid w:val="00B47A59"/>
    <w:rsid w:val="00B503D6"/>
    <w:rsid w:val="00B51520"/>
    <w:rsid w:val="00B515C3"/>
    <w:rsid w:val="00B517C2"/>
    <w:rsid w:val="00B518CE"/>
    <w:rsid w:val="00B51F56"/>
    <w:rsid w:val="00B52234"/>
    <w:rsid w:val="00B53623"/>
    <w:rsid w:val="00B53D1D"/>
    <w:rsid w:val="00B53E98"/>
    <w:rsid w:val="00B53F9B"/>
    <w:rsid w:val="00B55F64"/>
    <w:rsid w:val="00B56ECA"/>
    <w:rsid w:val="00B57093"/>
    <w:rsid w:val="00B60613"/>
    <w:rsid w:val="00B616F6"/>
    <w:rsid w:val="00B61AEC"/>
    <w:rsid w:val="00B62B7B"/>
    <w:rsid w:val="00B63EF6"/>
    <w:rsid w:val="00B6440A"/>
    <w:rsid w:val="00B64BF3"/>
    <w:rsid w:val="00B65844"/>
    <w:rsid w:val="00B66054"/>
    <w:rsid w:val="00B6677F"/>
    <w:rsid w:val="00B66C7A"/>
    <w:rsid w:val="00B672EA"/>
    <w:rsid w:val="00B6747B"/>
    <w:rsid w:val="00B70200"/>
    <w:rsid w:val="00B702D7"/>
    <w:rsid w:val="00B70389"/>
    <w:rsid w:val="00B70E01"/>
    <w:rsid w:val="00B7210E"/>
    <w:rsid w:val="00B728F6"/>
    <w:rsid w:val="00B72CF0"/>
    <w:rsid w:val="00B7380E"/>
    <w:rsid w:val="00B740F6"/>
    <w:rsid w:val="00B74615"/>
    <w:rsid w:val="00B755B6"/>
    <w:rsid w:val="00B75A48"/>
    <w:rsid w:val="00B75CC0"/>
    <w:rsid w:val="00B76021"/>
    <w:rsid w:val="00B804F8"/>
    <w:rsid w:val="00B8095A"/>
    <w:rsid w:val="00B81274"/>
    <w:rsid w:val="00B815D3"/>
    <w:rsid w:val="00B823A6"/>
    <w:rsid w:val="00B83E76"/>
    <w:rsid w:val="00B83FA0"/>
    <w:rsid w:val="00B86289"/>
    <w:rsid w:val="00B863B3"/>
    <w:rsid w:val="00B869D3"/>
    <w:rsid w:val="00B86E44"/>
    <w:rsid w:val="00B87359"/>
    <w:rsid w:val="00B87F1C"/>
    <w:rsid w:val="00B90D8D"/>
    <w:rsid w:val="00B91263"/>
    <w:rsid w:val="00B91B61"/>
    <w:rsid w:val="00B93015"/>
    <w:rsid w:val="00B93849"/>
    <w:rsid w:val="00B938BD"/>
    <w:rsid w:val="00B93BC4"/>
    <w:rsid w:val="00B9407F"/>
    <w:rsid w:val="00B944E9"/>
    <w:rsid w:val="00B94896"/>
    <w:rsid w:val="00B94CDD"/>
    <w:rsid w:val="00B96DD9"/>
    <w:rsid w:val="00B97909"/>
    <w:rsid w:val="00B9793B"/>
    <w:rsid w:val="00BA14B2"/>
    <w:rsid w:val="00BA15DC"/>
    <w:rsid w:val="00BA2C82"/>
    <w:rsid w:val="00BA5039"/>
    <w:rsid w:val="00BA583B"/>
    <w:rsid w:val="00BA5EC7"/>
    <w:rsid w:val="00BA6319"/>
    <w:rsid w:val="00BA63CE"/>
    <w:rsid w:val="00BA676E"/>
    <w:rsid w:val="00BA7227"/>
    <w:rsid w:val="00BA763C"/>
    <w:rsid w:val="00BA78B7"/>
    <w:rsid w:val="00BA7CD7"/>
    <w:rsid w:val="00BB00E5"/>
    <w:rsid w:val="00BB0E7C"/>
    <w:rsid w:val="00BB1C6D"/>
    <w:rsid w:val="00BB20B2"/>
    <w:rsid w:val="00BB2ACE"/>
    <w:rsid w:val="00BB2E4E"/>
    <w:rsid w:val="00BB2E62"/>
    <w:rsid w:val="00BB36C9"/>
    <w:rsid w:val="00BB4C19"/>
    <w:rsid w:val="00BB7EC0"/>
    <w:rsid w:val="00BC0207"/>
    <w:rsid w:val="00BC0A5A"/>
    <w:rsid w:val="00BC0E64"/>
    <w:rsid w:val="00BC25D1"/>
    <w:rsid w:val="00BC3BCB"/>
    <w:rsid w:val="00BC428A"/>
    <w:rsid w:val="00BC4B53"/>
    <w:rsid w:val="00BC4C40"/>
    <w:rsid w:val="00BC5A8D"/>
    <w:rsid w:val="00BC5AE3"/>
    <w:rsid w:val="00BC5BAD"/>
    <w:rsid w:val="00BC61B4"/>
    <w:rsid w:val="00BC76C5"/>
    <w:rsid w:val="00BD138A"/>
    <w:rsid w:val="00BD14D3"/>
    <w:rsid w:val="00BD164A"/>
    <w:rsid w:val="00BD1BDD"/>
    <w:rsid w:val="00BD1D40"/>
    <w:rsid w:val="00BD1D7D"/>
    <w:rsid w:val="00BD2B4D"/>
    <w:rsid w:val="00BD2F08"/>
    <w:rsid w:val="00BD2FB9"/>
    <w:rsid w:val="00BD31C2"/>
    <w:rsid w:val="00BD3683"/>
    <w:rsid w:val="00BD3F3B"/>
    <w:rsid w:val="00BD450A"/>
    <w:rsid w:val="00BD4717"/>
    <w:rsid w:val="00BD48EA"/>
    <w:rsid w:val="00BD4BA8"/>
    <w:rsid w:val="00BD58A0"/>
    <w:rsid w:val="00BD59B3"/>
    <w:rsid w:val="00BD62E6"/>
    <w:rsid w:val="00BD6B0E"/>
    <w:rsid w:val="00BD720A"/>
    <w:rsid w:val="00BD7941"/>
    <w:rsid w:val="00BE0C55"/>
    <w:rsid w:val="00BE11A2"/>
    <w:rsid w:val="00BE2299"/>
    <w:rsid w:val="00BE246C"/>
    <w:rsid w:val="00BE2657"/>
    <w:rsid w:val="00BE314D"/>
    <w:rsid w:val="00BE37AE"/>
    <w:rsid w:val="00BE3B14"/>
    <w:rsid w:val="00BE3C65"/>
    <w:rsid w:val="00BE472D"/>
    <w:rsid w:val="00BE6F37"/>
    <w:rsid w:val="00BE7F4D"/>
    <w:rsid w:val="00BF03C0"/>
    <w:rsid w:val="00BF0608"/>
    <w:rsid w:val="00BF0EBF"/>
    <w:rsid w:val="00BF21D4"/>
    <w:rsid w:val="00BF2DDC"/>
    <w:rsid w:val="00BF32E9"/>
    <w:rsid w:val="00BF3D30"/>
    <w:rsid w:val="00BF3E77"/>
    <w:rsid w:val="00BF47EF"/>
    <w:rsid w:val="00BF4A15"/>
    <w:rsid w:val="00BF4DAE"/>
    <w:rsid w:val="00BF4E0E"/>
    <w:rsid w:val="00BF4E27"/>
    <w:rsid w:val="00BF537B"/>
    <w:rsid w:val="00BF626A"/>
    <w:rsid w:val="00BF6D77"/>
    <w:rsid w:val="00BF7EF5"/>
    <w:rsid w:val="00C03442"/>
    <w:rsid w:val="00C0378E"/>
    <w:rsid w:val="00C042E1"/>
    <w:rsid w:val="00C05730"/>
    <w:rsid w:val="00C05AF4"/>
    <w:rsid w:val="00C05AFD"/>
    <w:rsid w:val="00C0661C"/>
    <w:rsid w:val="00C0675F"/>
    <w:rsid w:val="00C06B14"/>
    <w:rsid w:val="00C0702A"/>
    <w:rsid w:val="00C0724C"/>
    <w:rsid w:val="00C07C11"/>
    <w:rsid w:val="00C07E10"/>
    <w:rsid w:val="00C10015"/>
    <w:rsid w:val="00C1005E"/>
    <w:rsid w:val="00C12ECB"/>
    <w:rsid w:val="00C14229"/>
    <w:rsid w:val="00C14ABD"/>
    <w:rsid w:val="00C151E0"/>
    <w:rsid w:val="00C15B31"/>
    <w:rsid w:val="00C166D4"/>
    <w:rsid w:val="00C168E5"/>
    <w:rsid w:val="00C1696D"/>
    <w:rsid w:val="00C17AB5"/>
    <w:rsid w:val="00C17E3F"/>
    <w:rsid w:val="00C20051"/>
    <w:rsid w:val="00C20B86"/>
    <w:rsid w:val="00C21145"/>
    <w:rsid w:val="00C23615"/>
    <w:rsid w:val="00C2397E"/>
    <w:rsid w:val="00C23A83"/>
    <w:rsid w:val="00C24381"/>
    <w:rsid w:val="00C24C2E"/>
    <w:rsid w:val="00C24C7A"/>
    <w:rsid w:val="00C24E6B"/>
    <w:rsid w:val="00C24FFB"/>
    <w:rsid w:val="00C25CDC"/>
    <w:rsid w:val="00C25CFF"/>
    <w:rsid w:val="00C25EA6"/>
    <w:rsid w:val="00C261C1"/>
    <w:rsid w:val="00C26DBF"/>
    <w:rsid w:val="00C27084"/>
    <w:rsid w:val="00C30B0B"/>
    <w:rsid w:val="00C316B4"/>
    <w:rsid w:val="00C332D4"/>
    <w:rsid w:val="00C33E51"/>
    <w:rsid w:val="00C34531"/>
    <w:rsid w:val="00C34A50"/>
    <w:rsid w:val="00C34C45"/>
    <w:rsid w:val="00C34C47"/>
    <w:rsid w:val="00C3701A"/>
    <w:rsid w:val="00C405C8"/>
    <w:rsid w:val="00C40C2F"/>
    <w:rsid w:val="00C41323"/>
    <w:rsid w:val="00C415AC"/>
    <w:rsid w:val="00C4297A"/>
    <w:rsid w:val="00C42B6A"/>
    <w:rsid w:val="00C4360C"/>
    <w:rsid w:val="00C43A0B"/>
    <w:rsid w:val="00C43EDA"/>
    <w:rsid w:val="00C4414C"/>
    <w:rsid w:val="00C45512"/>
    <w:rsid w:val="00C45996"/>
    <w:rsid w:val="00C4602B"/>
    <w:rsid w:val="00C46564"/>
    <w:rsid w:val="00C46762"/>
    <w:rsid w:val="00C47203"/>
    <w:rsid w:val="00C50A02"/>
    <w:rsid w:val="00C51149"/>
    <w:rsid w:val="00C5117E"/>
    <w:rsid w:val="00C512D1"/>
    <w:rsid w:val="00C51856"/>
    <w:rsid w:val="00C51B04"/>
    <w:rsid w:val="00C53CE9"/>
    <w:rsid w:val="00C54749"/>
    <w:rsid w:val="00C54F07"/>
    <w:rsid w:val="00C5531B"/>
    <w:rsid w:val="00C55375"/>
    <w:rsid w:val="00C5685E"/>
    <w:rsid w:val="00C56C98"/>
    <w:rsid w:val="00C56DEE"/>
    <w:rsid w:val="00C57120"/>
    <w:rsid w:val="00C571D5"/>
    <w:rsid w:val="00C575D4"/>
    <w:rsid w:val="00C6029A"/>
    <w:rsid w:val="00C61223"/>
    <w:rsid w:val="00C61246"/>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1528"/>
    <w:rsid w:val="00C71F09"/>
    <w:rsid w:val="00C72588"/>
    <w:rsid w:val="00C727B9"/>
    <w:rsid w:val="00C73670"/>
    <w:rsid w:val="00C737D1"/>
    <w:rsid w:val="00C739F6"/>
    <w:rsid w:val="00C73DE0"/>
    <w:rsid w:val="00C74609"/>
    <w:rsid w:val="00C749AB"/>
    <w:rsid w:val="00C75A8F"/>
    <w:rsid w:val="00C76C0C"/>
    <w:rsid w:val="00C776BA"/>
    <w:rsid w:val="00C77E23"/>
    <w:rsid w:val="00C81716"/>
    <w:rsid w:val="00C81733"/>
    <w:rsid w:val="00C81FE1"/>
    <w:rsid w:val="00C832CB"/>
    <w:rsid w:val="00C84085"/>
    <w:rsid w:val="00C85E17"/>
    <w:rsid w:val="00C868A7"/>
    <w:rsid w:val="00C87164"/>
    <w:rsid w:val="00C87BD0"/>
    <w:rsid w:val="00C905E5"/>
    <w:rsid w:val="00C90754"/>
    <w:rsid w:val="00C90B95"/>
    <w:rsid w:val="00C90BC4"/>
    <w:rsid w:val="00C90CA9"/>
    <w:rsid w:val="00C92E41"/>
    <w:rsid w:val="00C92F62"/>
    <w:rsid w:val="00C93097"/>
    <w:rsid w:val="00C938CA"/>
    <w:rsid w:val="00C93B40"/>
    <w:rsid w:val="00C93DB5"/>
    <w:rsid w:val="00C94CB9"/>
    <w:rsid w:val="00C94F2B"/>
    <w:rsid w:val="00C95C2F"/>
    <w:rsid w:val="00C95F87"/>
    <w:rsid w:val="00C968EF"/>
    <w:rsid w:val="00C9786B"/>
    <w:rsid w:val="00CA0492"/>
    <w:rsid w:val="00CA0A04"/>
    <w:rsid w:val="00CA1C9F"/>
    <w:rsid w:val="00CA2528"/>
    <w:rsid w:val="00CA3232"/>
    <w:rsid w:val="00CA3CAB"/>
    <w:rsid w:val="00CA3FC0"/>
    <w:rsid w:val="00CA6A2E"/>
    <w:rsid w:val="00CA7809"/>
    <w:rsid w:val="00CA7D3E"/>
    <w:rsid w:val="00CB0317"/>
    <w:rsid w:val="00CB0662"/>
    <w:rsid w:val="00CB0A82"/>
    <w:rsid w:val="00CB0F2F"/>
    <w:rsid w:val="00CB1556"/>
    <w:rsid w:val="00CB2913"/>
    <w:rsid w:val="00CB3970"/>
    <w:rsid w:val="00CB42B9"/>
    <w:rsid w:val="00CB4F39"/>
    <w:rsid w:val="00CB52A4"/>
    <w:rsid w:val="00CB537C"/>
    <w:rsid w:val="00CB5A26"/>
    <w:rsid w:val="00CB645B"/>
    <w:rsid w:val="00CB6A93"/>
    <w:rsid w:val="00CB77C3"/>
    <w:rsid w:val="00CB7E9C"/>
    <w:rsid w:val="00CB7F06"/>
    <w:rsid w:val="00CC0072"/>
    <w:rsid w:val="00CC0915"/>
    <w:rsid w:val="00CC1AF5"/>
    <w:rsid w:val="00CC1B74"/>
    <w:rsid w:val="00CC1EFF"/>
    <w:rsid w:val="00CC291E"/>
    <w:rsid w:val="00CC2D03"/>
    <w:rsid w:val="00CC2EB0"/>
    <w:rsid w:val="00CC34EE"/>
    <w:rsid w:val="00CC3A4B"/>
    <w:rsid w:val="00CC4675"/>
    <w:rsid w:val="00CC4701"/>
    <w:rsid w:val="00CC5686"/>
    <w:rsid w:val="00CC56B4"/>
    <w:rsid w:val="00CC59F5"/>
    <w:rsid w:val="00CC5B9B"/>
    <w:rsid w:val="00CC5F95"/>
    <w:rsid w:val="00CC642A"/>
    <w:rsid w:val="00CC733D"/>
    <w:rsid w:val="00CC7E97"/>
    <w:rsid w:val="00CD1255"/>
    <w:rsid w:val="00CD1484"/>
    <w:rsid w:val="00CD1892"/>
    <w:rsid w:val="00CD1D00"/>
    <w:rsid w:val="00CD2308"/>
    <w:rsid w:val="00CD27AC"/>
    <w:rsid w:val="00CD2A82"/>
    <w:rsid w:val="00CD346D"/>
    <w:rsid w:val="00CD3CAB"/>
    <w:rsid w:val="00CD46A7"/>
    <w:rsid w:val="00CD4E50"/>
    <w:rsid w:val="00CD57CB"/>
    <w:rsid w:val="00CD64E1"/>
    <w:rsid w:val="00CD699D"/>
    <w:rsid w:val="00CD6AE5"/>
    <w:rsid w:val="00CD6BA3"/>
    <w:rsid w:val="00CD70DB"/>
    <w:rsid w:val="00CD7544"/>
    <w:rsid w:val="00CD78D4"/>
    <w:rsid w:val="00CE0697"/>
    <w:rsid w:val="00CE2E2E"/>
    <w:rsid w:val="00CE3A51"/>
    <w:rsid w:val="00CE41F9"/>
    <w:rsid w:val="00CE4ED0"/>
    <w:rsid w:val="00CE4EF2"/>
    <w:rsid w:val="00CE5553"/>
    <w:rsid w:val="00CE56B8"/>
    <w:rsid w:val="00CE59F6"/>
    <w:rsid w:val="00CE66CD"/>
    <w:rsid w:val="00CE6BA9"/>
    <w:rsid w:val="00CE71C3"/>
    <w:rsid w:val="00CF0AF0"/>
    <w:rsid w:val="00CF157E"/>
    <w:rsid w:val="00CF1834"/>
    <w:rsid w:val="00CF1AAA"/>
    <w:rsid w:val="00CF1CE0"/>
    <w:rsid w:val="00CF1EC2"/>
    <w:rsid w:val="00CF2ACF"/>
    <w:rsid w:val="00CF345B"/>
    <w:rsid w:val="00CF475F"/>
    <w:rsid w:val="00CF5008"/>
    <w:rsid w:val="00CF5069"/>
    <w:rsid w:val="00CF50B0"/>
    <w:rsid w:val="00CF56B1"/>
    <w:rsid w:val="00CF5E34"/>
    <w:rsid w:val="00CF7385"/>
    <w:rsid w:val="00CF7B77"/>
    <w:rsid w:val="00CF7DF5"/>
    <w:rsid w:val="00D01C22"/>
    <w:rsid w:val="00D0352D"/>
    <w:rsid w:val="00D03F7C"/>
    <w:rsid w:val="00D04406"/>
    <w:rsid w:val="00D04690"/>
    <w:rsid w:val="00D0480C"/>
    <w:rsid w:val="00D04F01"/>
    <w:rsid w:val="00D04F1E"/>
    <w:rsid w:val="00D04F8B"/>
    <w:rsid w:val="00D054EF"/>
    <w:rsid w:val="00D05637"/>
    <w:rsid w:val="00D05BA9"/>
    <w:rsid w:val="00D05EB1"/>
    <w:rsid w:val="00D064D1"/>
    <w:rsid w:val="00D0650B"/>
    <w:rsid w:val="00D06A7B"/>
    <w:rsid w:val="00D06E71"/>
    <w:rsid w:val="00D0714B"/>
    <w:rsid w:val="00D0764E"/>
    <w:rsid w:val="00D07D82"/>
    <w:rsid w:val="00D10327"/>
    <w:rsid w:val="00D10BE1"/>
    <w:rsid w:val="00D11FE3"/>
    <w:rsid w:val="00D12945"/>
    <w:rsid w:val="00D1343A"/>
    <w:rsid w:val="00D13D50"/>
    <w:rsid w:val="00D14101"/>
    <w:rsid w:val="00D14919"/>
    <w:rsid w:val="00D14E25"/>
    <w:rsid w:val="00D14F7B"/>
    <w:rsid w:val="00D15BF2"/>
    <w:rsid w:val="00D160C4"/>
    <w:rsid w:val="00D165D8"/>
    <w:rsid w:val="00D1724E"/>
    <w:rsid w:val="00D17C26"/>
    <w:rsid w:val="00D206F6"/>
    <w:rsid w:val="00D20784"/>
    <w:rsid w:val="00D20FD1"/>
    <w:rsid w:val="00D21E6F"/>
    <w:rsid w:val="00D2371E"/>
    <w:rsid w:val="00D237E0"/>
    <w:rsid w:val="00D23A17"/>
    <w:rsid w:val="00D24299"/>
    <w:rsid w:val="00D25676"/>
    <w:rsid w:val="00D25901"/>
    <w:rsid w:val="00D259B0"/>
    <w:rsid w:val="00D27129"/>
    <w:rsid w:val="00D279E7"/>
    <w:rsid w:val="00D27F75"/>
    <w:rsid w:val="00D3046D"/>
    <w:rsid w:val="00D30497"/>
    <w:rsid w:val="00D30CDC"/>
    <w:rsid w:val="00D30F5F"/>
    <w:rsid w:val="00D31B07"/>
    <w:rsid w:val="00D31B9D"/>
    <w:rsid w:val="00D32FA0"/>
    <w:rsid w:val="00D33112"/>
    <w:rsid w:val="00D331CB"/>
    <w:rsid w:val="00D3497A"/>
    <w:rsid w:val="00D36BB8"/>
    <w:rsid w:val="00D374D0"/>
    <w:rsid w:val="00D401A1"/>
    <w:rsid w:val="00D40217"/>
    <w:rsid w:val="00D40385"/>
    <w:rsid w:val="00D404CE"/>
    <w:rsid w:val="00D40E8F"/>
    <w:rsid w:val="00D412BF"/>
    <w:rsid w:val="00D417C6"/>
    <w:rsid w:val="00D421CD"/>
    <w:rsid w:val="00D42B0C"/>
    <w:rsid w:val="00D42D6E"/>
    <w:rsid w:val="00D43DEF"/>
    <w:rsid w:val="00D44259"/>
    <w:rsid w:val="00D45DDC"/>
    <w:rsid w:val="00D4752E"/>
    <w:rsid w:val="00D5022E"/>
    <w:rsid w:val="00D5064C"/>
    <w:rsid w:val="00D50C94"/>
    <w:rsid w:val="00D5251C"/>
    <w:rsid w:val="00D525B8"/>
    <w:rsid w:val="00D52F56"/>
    <w:rsid w:val="00D539DA"/>
    <w:rsid w:val="00D54A50"/>
    <w:rsid w:val="00D5556D"/>
    <w:rsid w:val="00D55C81"/>
    <w:rsid w:val="00D5674B"/>
    <w:rsid w:val="00D56AA2"/>
    <w:rsid w:val="00D56B56"/>
    <w:rsid w:val="00D56BF5"/>
    <w:rsid w:val="00D56F99"/>
    <w:rsid w:val="00D5743F"/>
    <w:rsid w:val="00D5768A"/>
    <w:rsid w:val="00D605C2"/>
    <w:rsid w:val="00D60733"/>
    <w:rsid w:val="00D61E1D"/>
    <w:rsid w:val="00D629A4"/>
    <w:rsid w:val="00D62BDF"/>
    <w:rsid w:val="00D6312D"/>
    <w:rsid w:val="00D64F1C"/>
    <w:rsid w:val="00D6570C"/>
    <w:rsid w:val="00D65A89"/>
    <w:rsid w:val="00D65F4B"/>
    <w:rsid w:val="00D673E0"/>
    <w:rsid w:val="00D675B0"/>
    <w:rsid w:val="00D678BB"/>
    <w:rsid w:val="00D67D81"/>
    <w:rsid w:val="00D67F85"/>
    <w:rsid w:val="00D70170"/>
    <w:rsid w:val="00D70552"/>
    <w:rsid w:val="00D70C42"/>
    <w:rsid w:val="00D70D42"/>
    <w:rsid w:val="00D71285"/>
    <w:rsid w:val="00D71ABC"/>
    <w:rsid w:val="00D721C5"/>
    <w:rsid w:val="00D72454"/>
    <w:rsid w:val="00D72850"/>
    <w:rsid w:val="00D72A44"/>
    <w:rsid w:val="00D72A5B"/>
    <w:rsid w:val="00D73CD4"/>
    <w:rsid w:val="00D73F06"/>
    <w:rsid w:val="00D740B2"/>
    <w:rsid w:val="00D74247"/>
    <w:rsid w:val="00D743F1"/>
    <w:rsid w:val="00D744F1"/>
    <w:rsid w:val="00D7456E"/>
    <w:rsid w:val="00D753A9"/>
    <w:rsid w:val="00D755F7"/>
    <w:rsid w:val="00D75E4B"/>
    <w:rsid w:val="00D77AF6"/>
    <w:rsid w:val="00D804C5"/>
    <w:rsid w:val="00D80FDE"/>
    <w:rsid w:val="00D81A28"/>
    <w:rsid w:val="00D81A52"/>
    <w:rsid w:val="00D82B00"/>
    <w:rsid w:val="00D82BE4"/>
    <w:rsid w:val="00D82E05"/>
    <w:rsid w:val="00D8313F"/>
    <w:rsid w:val="00D83C0D"/>
    <w:rsid w:val="00D846B5"/>
    <w:rsid w:val="00D8665E"/>
    <w:rsid w:val="00D869C1"/>
    <w:rsid w:val="00D86EC6"/>
    <w:rsid w:val="00D87418"/>
    <w:rsid w:val="00D876AF"/>
    <w:rsid w:val="00D87A39"/>
    <w:rsid w:val="00D87FE6"/>
    <w:rsid w:val="00D90BC3"/>
    <w:rsid w:val="00D90DB9"/>
    <w:rsid w:val="00D91001"/>
    <w:rsid w:val="00D91337"/>
    <w:rsid w:val="00D915C9"/>
    <w:rsid w:val="00D918DA"/>
    <w:rsid w:val="00D9198F"/>
    <w:rsid w:val="00D91FCB"/>
    <w:rsid w:val="00D92078"/>
    <w:rsid w:val="00D927E8"/>
    <w:rsid w:val="00D92A87"/>
    <w:rsid w:val="00D9384E"/>
    <w:rsid w:val="00D93AEE"/>
    <w:rsid w:val="00D9413E"/>
    <w:rsid w:val="00D94C8D"/>
    <w:rsid w:val="00D96698"/>
    <w:rsid w:val="00D96876"/>
    <w:rsid w:val="00D96940"/>
    <w:rsid w:val="00D969AD"/>
    <w:rsid w:val="00D96B12"/>
    <w:rsid w:val="00D96F59"/>
    <w:rsid w:val="00DA01DC"/>
    <w:rsid w:val="00DA099C"/>
    <w:rsid w:val="00DA0F18"/>
    <w:rsid w:val="00DA2125"/>
    <w:rsid w:val="00DA21EC"/>
    <w:rsid w:val="00DA24DE"/>
    <w:rsid w:val="00DA270C"/>
    <w:rsid w:val="00DA281F"/>
    <w:rsid w:val="00DA4A61"/>
    <w:rsid w:val="00DA61AB"/>
    <w:rsid w:val="00DA61CD"/>
    <w:rsid w:val="00DA6EE2"/>
    <w:rsid w:val="00DA78CF"/>
    <w:rsid w:val="00DA78D5"/>
    <w:rsid w:val="00DA7A89"/>
    <w:rsid w:val="00DA7BF4"/>
    <w:rsid w:val="00DB052F"/>
    <w:rsid w:val="00DB0D2C"/>
    <w:rsid w:val="00DB107D"/>
    <w:rsid w:val="00DB149F"/>
    <w:rsid w:val="00DB14D3"/>
    <w:rsid w:val="00DB154B"/>
    <w:rsid w:val="00DB1632"/>
    <w:rsid w:val="00DB1BDC"/>
    <w:rsid w:val="00DB1D2A"/>
    <w:rsid w:val="00DB2A95"/>
    <w:rsid w:val="00DB3490"/>
    <w:rsid w:val="00DB3593"/>
    <w:rsid w:val="00DB395F"/>
    <w:rsid w:val="00DB440B"/>
    <w:rsid w:val="00DB4426"/>
    <w:rsid w:val="00DB4B40"/>
    <w:rsid w:val="00DB4F12"/>
    <w:rsid w:val="00DB4F21"/>
    <w:rsid w:val="00DB5184"/>
    <w:rsid w:val="00DB5F7A"/>
    <w:rsid w:val="00DB6D32"/>
    <w:rsid w:val="00DB6F96"/>
    <w:rsid w:val="00DB71B9"/>
    <w:rsid w:val="00DB7C5C"/>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205"/>
    <w:rsid w:val="00DD15EE"/>
    <w:rsid w:val="00DD1633"/>
    <w:rsid w:val="00DD2831"/>
    <w:rsid w:val="00DD2A6D"/>
    <w:rsid w:val="00DD42DE"/>
    <w:rsid w:val="00DD4309"/>
    <w:rsid w:val="00DD4344"/>
    <w:rsid w:val="00DD573B"/>
    <w:rsid w:val="00DD5A1E"/>
    <w:rsid w:val="00DD5B8C"/>
    <w:rsid w:val="00DD5BEE"/>
    <w:rsid w:val="00DD5DFA"/>
    <w:rsid w:val="00DE0229"/>
    <w:rsid w:val="00DE191B"/>
    <w:rsid w:val="00DE1A9D"/>
    <w:rsid w:val="00DE1CB1"/>
    <w:rsid w:val="00DE2073"/>
    <w:rsid w:val="00DE2414"/>
    <w:rsid w:val="00DE30AC"/>
    <w:rsid w:val="00DE4106"/>
    <w:rsid w:val="00DE466B"/>
    <w:rsid w:val="00DE48F4"/>
    <w:rsid w:val="00DE5563"/>
    <w:rsid w:val="00DE5D48"/>
    <w:rsid w:val="00DE6E4D"/>
    <w:rsid w:val="00DE7121"/>
    <w:rsid w:val="00DE7371"/>
    <w:rsid w:val="00DE7498"/>
    <w:rsid w:val="00DE75EF"/>
    <w:rsid w:val="00DE7611"/>
    <w:rsid w:val="00DF05A0"/>
    <w:rsid w:val="00DF1BA8"/>
    <w:rsid w:val="00DF1F63"/>
    <w:rsid w:val="00DF28F2"/>
    <w:rsid w:val="00DF2BFF"/>
    <w:rsid w:val="00DF3798"/>
    <w:rsid w:val="00DF4FF1"/>
    <w:rsid w:val="00DF6FD2"/>
    <w:rsid w:val="00DF72EF"/>
    <w:rsid w:val="00DF7724"/>
    <w:rsid w:val="00E00956"/>
    <w:rsid w:val="00E00C1E"/>
    <w:rsid w:val="00E00F5F"/>
    <w:rsid w:val="00E011E6"/>
    <w:rsid w:val="00E014E7"/>
    <w:rsid w:val="00E0232F"/>
    <w:rsid w:val="00E026A9"/>
    <w:rsid w:val="00E0356F"/>
    <w:rsid w:val="00E03B42"/>
    <w:rsid w:val="00E03C10"/>
    <w:rsid w:val="00E0479F"/>
    <w:rsid w:val="00E04816"/>
    <w:rsid w:val="00E04D6A"/>
    <w:rsid w:val="00E05950"/>
    <w:rsid w:val="00E05CD4"/>
    <w:rsid w:val="00E06100"/>
    <w:rsid w:val="00E06E97"/>
    <w:rsid w:val="00E10DD1"/>
    <w:rsid w:val="00E11400"/>
    <w:rsid w:val="00E1224C"/>
    <w:rsid w:val="00E1254C"/>
    <w:rsid w:val="00E12A76"/>
    <w:rsid w:val="00E12BDF"/>
    <w:rsid w:val="00E12D66"/>
    <w:rsid w:val="00E13326"/>
    <w:rsid w:val="00E14356"/>
    <w:rsid w:val="00E14961"/>
    <w:rsid w:val="00E14D76"/>
    <w:rsid w:val="00E15485"/>
    <w:rsid w:val="00E15D6C"/>
    <w:rsid w:val="00E161DE"/>
    <w:rsid w:val="00E17E84"/>
    <w:rsid w:val="00E203DE"/>
    <w:rsid w:val="00E20CE7"/>
    <w:rsid w:val="00E217B1"/>
    <w:rsid w:val="00E222FA"/>
    <w:rsid w:val="00E229CE"/>
    <w:rsid w:val="00E22B4A"/>
    <w:rsid w:val="00E24A62"/>
    <w:rsid w:val="00E24F52"/>
    <w:rsid w:val="00E25433"/>
    <w:rsid w:val="00E2567D"/>
    <w:rsid w:val="00E25755"/>
    <w:rsid w:val="00E26621"/>
    <w:rsid w:val="00E26D2E"/>
    <w:rsid w:val="00E279B2"/>
    <w:rsid w:val="00E3055B"/>
    <w:rsid w:val="00E31699"/>
    <w:rsid w:val="00E31812"/>
    <w:rsid w:val="00E31889"/>
    <w:rsid w:val="00E31CE7"/>
    <w:rsid w:val="00E32F3B"/>
    <w:rsid w:val="00E333D5"/>
    <w:rsid w:val="00E3394F"/>
    <w:rsid w:val="00E35A45"/>
    <w:rsid w:val="00E37A6F"/>
    <w:rsid w:val="00E40222"/>
    <w:rsid w:val="00E40406"/>
    <w:rsid w:val="00E40BCB"/>
    <w:rsid w:val="00E41DD2"/>
    <w:rsid w:val="00E4208F"/>
    <w:rsid w:val="00E43006"/>
    <w:rsid w:val="00E43551"/>
    <w:rsid w:val="00E437FA"/>
    <w:rsid w:val="00E45A2C"/>
    <w:rsid w:val="00E46A9C"/>
    <w:rsid w:val="00E47010"/>
    <w:rsid w:val="00E50BDD"/>
    <w:rsid w:val="00E50DF3"/>
    <w:rsid w:val="00E510CF"/>
    <w:rsid w:val="00E513D7"/>
    <w:rsid w:val="00E5206C"/>
    <w:rsid w:val="00E52897"/>
    <w:rsid w:val="00E52AAB"/>
    <w:rsid w:val="00E52DF4"/>
    <w:rsid w:val="00E5448E"/>
    <w:rsid w:val="00E54E0D"/>
    <w:rsid w:val="00E558E5"/>
    <w:rsid w:val="00E56144"/>
    <w:rsid w:val="00E56795"/>
    <w:rsid w:val="00E57932"/>
    <w:rsid w:val="00E606C4"/>
    <w:rsid w:val="00E60811"/>
    <w:rsid w:val="00E60AB8"/>
    <w:rsid w:val="00E63C60"/>
    <w:rsid w:val="00E64050"/>
    <w:rsid w:val="00E645CE"/>
    <w:rsid w:val="00E6514D"/>
    <w:rsid w:val="00E65161"/>
    <w:rsid w:val="00E652C9"/>
    <w:rsid w:val="00E6593B"/>
    <w:rsid w:val="00E672C6"/>
    <w:rsid w:val="00E70192"/>
    <w:rsid w:val="00E71809"/>
    <w:rsid w:val="00E718D0"/>
    <w:rsid w:val="00E71D1E"/>
    <w:rsid w:val="00E728E2"/>
    <w:rsid w:val="00E738FA"/>
    <w:rsid w:val="00E74A2B"/>
    <w:rsid w:val="00E75667"/>
    <w:rsid w:val="00E756D3"/>
    <w:rsid w:val="00E76004"/>
    <w:rsid w:val="00E760D7"/>
    <w:rsid w:val="00E762A3"/>
    <w:rsid w:val="00E769CC"/>
    <w:rsid w:val="00E77341"/>
    <w:rsid w:val="00E778B8"/>
    <w:rsid w:val="00E80AF8"/>
    <w:rsid w:val="00E816E8"/>
    <w:rsid w:val="00E82592"/>
    <w:rsid w:val="00E827BB"/>
    <w:rsid w:val="00E82AD7"/>
    <w:rsid w:val="00E82D24"/>
    <w:rsid w:val="00E8357D"/>
    <w:rsid w:val="00E84212"/>
    <w:rsid w:val="00E84C04"/>
    <w:rsid w:val="00E84F72"/>
    <w:rsid w:val="00E856A2"/>
    <w:rsid w:val="00E8572B"/>
    <w:rsid w:val="00E8575B"/>
    <w:rsid w:val="00E85929"/>
    <w:rsid w:val="00E85AD2"/>
    <w:rsid w:val="00E874BB"/>
    <w:rsid w:val="00E87AE5"/>
    <w:rsid w:val="00E87CF7"/>
    <w:rsid w:val="00E87E4D"/>
    <w:rsid w:val="00E9036E"/>
    <w:rsid w:val="00E9078A"/>
    <w:rsid w:val="00E912FD"/>
    <w:rsid w:val="00E92C6E"/>
    <w:rsid w:val="00E92D0B"/>
    <w:rsid w:val="00E92EC9"/>
    <w:rsid w:val="00E93195"/>
    <w:rsid w:val="00E934A7"/>
    <w:rsid w:val="00E9519E"/>
    <w:rsid w:val="00E951D8"/>
    <w:rsid w:val="00E95C2A"/>
    <w:rsid w:val="00E961CB"/>
    <w:rsid w:val="00E963BC"/>
    <w:rsid w:val="00E96D90"/>
    <w:rsid w:val="00E96E91"/>
    <w:rsid w:val="00E97DC6"/>
    <w:rsid w:val="00E97F3B"/>
    <w:rsid w:val="00E97F7A"/>
    <w:rsid w:val="00EA0010"/>
    <w:rsid w:val="00EA0143"/>
    <w:rsid w:val="00EA0400"/>
    <w:rsid w:val="00EA089B"/>
    <w:rsid w:val="00EA0902"/>
    <w:rsid w:val="00EA1A55"/>
    <w:rsid w:val="00EA1D28"/>
    <w:rsid w:val="00EA2686"/>
    <w:rsid w:val="00EA2E21"/>
    <w:rsid w:val="00EA37FA"/>
    <w:rsid w:val="00EA380C"/>
    <w:rsid w:val="00EA72A3"/>
    <w:rsid w:val="00EA7308"/>
    <w:rsid w:val="00EA7D07"/>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8FA"/>
    <w:rsid w:val="00EB3CE6"/>
    <w:rsid w:val="00EB3E92"/>
    <w:rsid w:val="00EB3EC3"/>
    <w:rsid w:val="00EB54AB"/>
    <w:rsid w:val="00EB6257"/>
    <w:rsid w:val="00EB68E6"/>
    <w:rsid w:val="00EB71C9"/>
    <w:rsid w:val="00EB7392"/>
    <w:rsid w:val="00EB7B67"/>
    <w:rsid w:val="00EC07F1"/>
    <w:rsid w:val="00EC14EA"/>
    <w:rsid w:val="00EC1E8A"/>
    <w:rsid w:val="00EC302E"/>
    <w:rsid w:val="00EC328C"/>
    <w:rsid w:val="00EC5241"/>
    <w:rsid w:val="00EC56E1"/>
    <w:rsid w:val="00EC594C"/>
    <w:rsid w:val="00EC5B44"/>
    <w:rsid w:val="00EC5C7B"/>
    <w:rsid w:val="00EC66AA"/>
    <w:rsid w:val="00EC6B8F"/>
    <w:rsid w:val="00EC7371"/>
    <w:rsid w:val="00EC7A28"/>
    <w:rsid w:val="00EC7B48"/>
    <w:rsid w:val="00ED0257"/>
    <w:rsid w:val="00ED071B"/>
    <w:rsid w:val="00ED1ADE"/>
    <w:rsid w:val="00ED252C"/>
    <w:rsid w:val="00ED4A77"/>
    <w:rsid w:val="00ED5981"/>
    <w:rsid w:val="00ED6514"/>
    <w:rsid w:val="00ED66B2"/>
    <w:rsid w:val="00ED71BA"/>
    <w:rsid w:val="00ED73A1"/>
    <w:rsid w:val="00ED7428"/>
    <w:rsid w:val="00ED7BCB"/>
    <w:rsid w:val="00ED7CA2"/>
    <w:rsid w:val="00EE014B"/>
    <w:rsid w:val="00EE058F"/>
    <w:rsid w:val="00EE13DA"/>
    <w:rsid w:val="00EE1595"/>
    <w:rsid w:val="00EE2087"/>
    <w:rsid w:val="00EE3384"/>
    <w:rsid w:val="00EE499F"/>
    <w:rsid w:val="00EE56E2"/>
    <w:rsid w:val="00EE6D45"/>
    <w:rsid w:val="00EE6E89"/>
    <w:rsid w:val="00EF0D4B"/>
    <w:rsid w:val="00EF0FE6"/>
    <w:rsid w:val="00EF10A9"/>
    <w:rsid w:val="00EF1432"/>
    <w:rsid w:val="00EF1511"/>
    <w:rsid w:val="00EF2C5F"/>
    <w:rsid w:val="00EF3AC4"/>
    <w:rsid w:val="00EF3FF9"/>
    <w:rsid w:val="00EF41AF"/>
    <w:rsid w:val="00EF4DB4"/>
    <w:rsid w:val="00EF53E2"/>
    <w:rsid w:val="00EF55E9"/>
    <w:rsid w:val="00EF5B41"/>
    <w:rsid w:val="00EF611C"/>
    <w:rsid w:val="00F00630"/>
    <w:rsid w:val="00F00922"/>
    <w:rsid w:val="00F00924"/>
    <w:rsid w:val="00F00AB5"/>
    <w:rsid w:val="00F01BE6"/>
    <w:rsid w:val="00F0217A"/>
    <w:rsid w:val="00F026D3"/>
    <w:rsid w:val="00F02FFB"/>
    <w:rsid w:val="00F03395"/>
    <w:rsid w:val="00F034E6"/>
    <w:rsid w:val="00F03E4C"/>
    <w:rsid w:val="00F04560"/>
    <w:rsid w:val="00F06340"/>
    <w:rsid w:val="00F0665D"/>
    <w:rsid w:val="00F06D42"/>
    <w:rsid w:val="00F07134"/>
    <w:rsid w:val="00F0724D"/>
    <w:rsid w:val="00F07378"/>
    <w:rsid w:val="00F10B81"/>
    <w:rsid w:val="00F14591"/>
    <w:rsid w:val="00F145D3"/>
    <w:rsid w:val="00F14B4B"/>
    <w:rsid w:val="00F14CD1"/>
    <w:rsid w:val="00F15115"/>
    <w:rsid w:val="00F15C81"/>
    <w:rsid w:val="00F15C8E"/>
    <w:rsid w:val="00F15D8C"/>
    <w:rsid w:val="00F15F18"/>
    <w:rsid w:val="00F16B86"/>
    <w:rsid w:val="00F16E1A"/>
    <w:rsid w:val="00F16F92"/>
    <w:rsid w:val="00F17904"/>
    <w:rsid w:val="00F17C3E"/>
    <w:rsid w:val="00F20197"/>
    <w:rsid w:val="00F20369"/>
    <w:rsid w:val="00F20570"/>
    <w:rsid w:val="00F205A1"/>
    <w:rsid w:val="00F20607"/>
    <w:rsid w:val="00F208BB"/>
    <w:rsid w:val="00F213D8"/>
    <w:rsid w:val="00F21760"/>
    <w:rsid w:val="00F21A5D"/>
    <w:rsid w:val="00F21C13"/>
    <w:rsid w:val="00F22362"/>
    <w:rsid w:val="00F22796"/>
    <w:rsid w:val="00F2363A"/>
    <w:rsid w:val="00F238F7"/>
    <w:rsid w:val="00F23BA0"/>
    <w:rsid w:val="00F254C4"/>
    <w:rsid w:val="00F25641"/>
    <w:rsid w:val="00F256D8"/>
    <w:rsid w:val="00F26065"/>
    <w:rsid w:val="00F266E3"/>
    <w:rsid w:val="00F2689C"/>
    <w:rsid w:val="00F27E44"/>
    <w:rsid w:val="00F30313"/>
    <w:rsid w:val="00F303BC"/>
    <w:rsid w:val="00F309CD"/>
    <w:rsid w:val="00F317EA"/>
    <w:rsid w:val="00F318A1"/>
    <w:rsid w:val="00F31CF5"/>
    <w:rsid w:val="00F3265C"/>
    <w:rsid w:val="00F343EE"/>
    <w:rsid w:val="00F353F4"/>
    <w:rsid w:val="00F35494"/>
    <w:rsid w:val="00F35607"/>
    <w:rsid w:val="00F35D47"/>
    <w:rsid w:val="00F35DBA"/>
    <w:rsid w:val="00F3619D"/>
    <w:rsid w:val="00F36EC1"/>
    <w:rsid w:val="00F3722A"/>
    <w:rsid w:val="00F37366"/>
    <w:rsid w:val="00F37C99"/>
    <w:rsid w:val="00F40747"/>
    <w:rsid w:val="00F419B8"/>
    <w:rsid w:val="00F41C0F"/>
    <w:rsid w:val="00F42856"/>
    <w:rsid w:val="00F42F47"/>
    <w:rsid w:val="00F43777"/>
    <w:rsid w:val="00F43A4C"/>
    <w:rsid w:val="00F4482B"/>
    <w:rsid w:val="00F44F02"/>
    <w:rsid w:val="00F4526B"/>
    <w:rsid w:val="00F45F64"/>
    <w:rsid w:val="00F462DF"/>
    <w:rsid w:val="00F4662D"/>
    <w:rsid w:val="00F467BA"/>
    <w:rsid w:val="00F4689E"/>
    <w:rsid w:val="00F468AC"/>
    <w:rsid w:val="00F46A5F"/>
    <w:rsid w:val="00F47316"/>
    <w:rsid w:val="00F47507"/>
    <w:rsid w:val="00F47A01"/>
    <w:rsid w:val="00F47CEE"/>
    <w:rsid w:val="00F5052D"/>
    <w:rsid w:val="00F50C7C"/>
    <w:rsid w:val="00F51A82"/>
    <w:rsid w:val="00F51B78"/>
    <w:rsid w:val="00F5254B"/>
    <w:rsid w:val="00F53A44"/>
    <w:rsid w:val="00F53E96"/>
    <w:rsid w:val="00F54E5E"/>
    <w:rsid w:val="00F551DB"/>
    <w:rsid w:val="00F559BE"/>
    <w:rsid w:val="00F56FEF"/>
    <w:rsid w:val="00F57521"/>
    <w:rsid w:val="00F605DC"/>
    <w:rsid w:val="00F60938"/>
    <w:rsid w:val="00F60C7E"/>
    <w:rsid w:val="00F60E0A"/>
    <w:rsid w:val="00F61606"/>
    <w:rsid w:val="00F61918"/>
    <w:rsid w:val="00F61C45"/>
    <w:rsid w:val="00F62151"/>
    <w:rsid w:val="00F62CA8"/>
    <w:rsid w:val="00F630B4"/>
    <w:rsid w:val="00F635EF"/>
    <w:rsid w:val="00F63BF4"/>
    <w:rsid w:val="00F63C55"/>
    <w:rsid w:val="00F63C60"/>
    <w:rsid w:val="00F64991"/>
    <w:rsid w:val="00F65BA9"/>
    <w:rsid w:val="00F65BC8"/>
    <w:rsid w:val="00F66205"/>
    <w:rsid w:val="00F6630F"/>
    <w:rsid w:val="00F66419"/>
    <w:rsid w:val="00F67842"/>
    <w:rsid w:val="00F67B58"/>
    <w:rsid w:val="00F67E81"/>
    <w:rsid w:val="00F70A50"/>
    <w:rsid w:val="00F71C68"/>
    <w:rsid w:val="00F724E2"/>
    <w:rsid w:val="00F725DD"/>
    <w:rsid w:val="00F74103"/>
    <w:rsid w:val="00F745A4"/>
    <w:rsid w:val="00F74C0C"/>
    <w:rsid w:val="00F75BB5"/>
    <w:rsid w:val="00F75FD5"/>
    <w:rsid w:val="00F7604C"/>
    <w:rsid w:val="00F773A9"/>
    <w:rsid w:val="00F81623"/>
    <w:rsid w:val="00F81D25"/>
    <w:rsid w:val="00F829B9"/>
    <w:rsid w:val="00F82EA0"/>
    <w:rsid w:val="00F83045"/>
    <w:rsid w:val="00F83615"/>
    <w:rsid w:val="00F8421D"/>
    <w:rsid w:val="00F84621"/>
    <w:rsid w:val="00F85329"/>
    <w:rsid w:val="00F86079"/>
    <w:rsid w:val="00F87282"/>
    <w:rsid w:val="00F878CD"/>
    <w:rsid w:val="00F87905"/>
    <w:rsid w:val="00F90C1F"/>
    <w:rsid w:val="00F910AF"/>
    <w:rsid w:val="00F9199A"/>
    <w:rsid w:val="00F91A44"/>
    <w:rsid w:val="00F9217B"/>
    <w:rsid w:val="00F951DF"/>
    <w:rsid w:val="00F96655"/>
    <w:rsid w:val="00F97A34"/>
    <w:rsid w:val="00F97E4A"/>
    <w:rsid w:val="00F97EA1"/>
    <w:rsid w:val="00FA05C8"/>
    <w:rsid w:val="00FA0678"/>
    <w:rsid w:val="00FA0DB6"/>
    <w:rsid w:val="00FA23F7"/>
    <w:rsid w:val="00FA27EB"/>
    <w:rsid w:val="00FA3EBC"/>
    <w:rsid w:val="00FA423C"/>
    <w:rsid w:val="00FA44D0"/>
    <w:rsid w:val="00FA55A2"/>
    <w:rsid w:val="00FA672F"/>
    <w:rsid w:val="00FA7792"/>
    <w:rsid w:val="00FA7AA8"/>
    <w:rsid w:val="00FA7F1D"/>
    <w:rsid w:val="00FB0D60"/>
    <w:rsid w:val="00FB2BF5"/>
    <w:rsid w:val="00FB2F8E"/>
    <w:rsid w:val="00FB30C3"/>
    <w:rsid w:val="00FB39B0"/>
    <w:rsid w:val="00FB5138"/>
    <w:rsid w:val="00FB5A71"/>
    <w:rsid w:val="00FB7823"/>
    <w:rsid w:val="00FC05B2"/>
    <w:rsid w:val="00FC08B3"/>
    <w:rsid w:val="00FC09D7"/>
    <w:rsid w:val="00FC22D0"/>
    <w:rsid w:val="00FC38D4"/>
    <w:rsid w:val="00FC391E"/>
    <w:rsid w:val="00FC3BB7"/>
    <w:rsid w:val="00FC4345"/>
    <w:rsid w:val="00FC444A"/>
    <w:rsid w:val="00FC453D"/>
    <w:rsid w:val="00FC4A89"/>
    <w:rsid w:val="00FC6230"/>
    <w:rsid w:val="00FC665F"/>
    <w:rsid w:val="00FC6D59"/>
    <w:rsid w:val="00FC78F5"/>
    <w:rsid w:val="00FC7AD2"/>
    <w:rsid w:val="00FC7FC0"/>
    <w:rsid w:val="00FD0130"/>
    <w:rsid w:val="00FD10B3"/>
    <w:rsid w:val="00FD11C3"/>
    <w:rsid w:val="00FD154E"/>
    <w:rsid w:val="00FD24D7"/>
    <w:rsid w:val="00FD29CE"/>
    <w:rsid w:val="00FD3AE2"/>
    <w:rsid w:val="00FD3E41"/>
    <w:rsid w:val="00FD5AE4"/>
    <w:rsid w:val="00FD5F25"/>
    <w:rsid w:val="00FD60BE"/>
    <w:rsid w:val="00FD6894"/>
    <w:rsid w:val="00FD6AF0"/>
    <w:rsid w:val="00FD704D"/>
    <w:rsid w:val="00FD74E3"/>
    <w:rsid w:val="00FD79B8"/>
    <w:rsid w:val="00FE0AD1"/>
    <w:rsid w:val="00FE1852"/>
    <w:rsid w:val="00FE32B7"/>
    <w:rsid w:val="00FE33DB"/>
    <w:rsid w:val="00FE33F5"/>
    <w:rsid w:val="00FE37DD"/>
    <w:rsid w:val="00FE3980"/>
    <w:rsid w:val="00FE3C31"/>
    <w:rsid w:val="00FE4015"/>
    <w:rsid w:val="00FE44F5"/>
    <w:rsid w:val="00FE4783"/>
    <w:rsid w:val="00FE480D"/>
    <w:rsid w:val="00FE4ACC"/>
    <w:rsid w:val="00FE7DD1"/>
    <w:rsid w:val="00FF0B4F"/>
    <w:rsid w:val="00FF0B70"/>
    <w:rsid w:val="00FF1A06"/>
    <w:rsid w:val="00FF1AD3"/>
    <w:rsid w:val="00FF1B46"/>
    <w:rsid w:val="00FF219D"/>
    <w:rsid w:val="00FF2693"/>
    <w:rsid w:val="00FF2BB3"/>
    <w:rsid w:val="00FF49B4"/>
    <w:rsid w:val="00FF49F4"/>
    <w:rsid w:val="00FF651D"/>
    <w:rsid w:val="00FF6843"/>
    <w:rsid w:val="00FF7724"/>
    <w:rsid w:val="00FF78E2"/>
    <w:rsid w:val="010651D9"/>
    <w:rsid w:val="010F399F"/>
    <w:rsid w:val="013730A5"/>
    <w:rsid w:val="014331A4"/>
    <w:rsid w:val="01683013"/>
    <w:rsid w:val="01ED469A"/>
    <w:rsid w:val="01F403F6"/>
    <w:rsid w:val="01F62F61"/>
    <w:rsid w:val="01F94249"/>
    <w:rsid w:val="02122095"/>
    <w:rsid w:val="021F03E2"/>
    <w:rsid w:val="02394C0B"/>
    <w:rsid w:val="027D7494"/>
    <w:rsid w:val="02C53449"/>
    <w:rsid w:val="02F40EDA"/>
    <w:rsid w:val="02FC0103"/>
    <w:rsid w:val="02FF58F9"/>
    <w:rsid w:val="03052FE0"/>
    <w:rsid w:val="030B57D7"/>
    <w:rsid w:val="03357AA9"/>
    <w:rsid w:val="03411FB9"/>
    <w:rsid w:val="0344728F"/>
    <w:rsid w:val="034E0BF0"/>
    <w:rsid w:val="0361265C"/>
    <w:rsid w:val="036721A1"/>
    <w:rsid w:val="036D1000"/>
    <w:rsid w:val="036E3E94"/>
    <w:rsid w:val="038E03C2"/>
    <w:rsid w:val="03A450E3"/>
    <w:rsid w:val="03BC7892"/>
    <w:rsid w:val="03DD35E4"/>
    <w:rsid w:val="03FD2384"/>
    <w:rsid w:val="04090E60"/>
    <w:rsid w:val="040C0819"/>
    <w:rsid w:val="04462F5E"/>
    <w:rsid w:val="04471852"/>
    <w:rsid w:val="047C599F"/>
    <w:rsid w:val="04903357"/>
    <w:rsid w:val="04C43FCB"/>
    <w:rsid w:val="04EF66DB"/>
    <w:rsid w:val="05085485"/>
    <w:rsid w:val="0567224C"/>
    <w:rsid w:val="056D7096"/>
    <w:rsid w:val="05746676"/>
    <w:rsid w:val="057A4945"/>
    <w:rsid w:val="05890D2F"/>
    <w:rsid w:val="0598095E"/>
    <w:rsid w:val="05A32B85"/>
    <w:rsid w:val="05AE56E3"/>
    <w:rsid w:val="05BD4511"/>
    <w:rsid w:val="05C9431B"/>
    <w:rsid w:val="05EF21A1"/>
    <w:rsid w:val="05F872A7"/>
    <w:rsid w:val="06043E9E"/>
    <w:rsid w:val="06126CB7"/>
    <w:rsid w:val="061E1CAC"/>
    <w:rsid w:val="063B5309"/>
    <w:rsid w:val="065A6178"/>
    <w:rsid w:val="06831528"/>
    <w:rsid w:val="06835B14"/>
    <w:rsid w:val="068E19BA"/>
    <w:rsid w:val="06B6402C"/>
    <w:rsid w:val="06C47199"/>
    <w:rsid w:val="06CF77AC"/>
    <w:rsid w:val="06DF0467"/>
    <w:rsid w:val="06EC61C4"/>
    <w:rsid w:val="06F537E7"/>
    <w:rsid w:val="07702425"/>
    <w:rsid w:val="077961C6"/>
    <w:rsid w:val="077E40A3"/>
    <w:rsid w:val="078A03D3"/>
    <w:rsid w:val="07941252"/>
    <w:rsid w:val="079E5C2C"/>
    <w:rsid w:val="07A7582F"/>
    <w:rsid w:val="07AB0349"/>
    <w:rsid w:val="07D10DB9"/>
    <w:rsid w:val="07D82ABE"/>
    <w:rsid w:val="07D94EB6"/>
    <w:rsid w:val="07E035B9"/>
    <w:rsid w:val="080E7653"/>
    <w:rsid w:val="081E231A"/>
    <w:rsid w:val="0821786C"/>
    <w:rsid w:val="082F7E84"/>
    <w:rsid w:val="08DC31AF"/>
    <w:rsid w:val="08E92ED7"/>
    <w:rsid w:val="08EF6326"/>
    <w:rsid w:val="09322AD0"/>
    <w:rsid w:val="09523172"/>
    <w:rsid w:val="09694018"/>
    <w:rsid w:val="0974058A"/>
    <w:rsid w:val="097F55EA"/>
    <w:rsid w:val="09994C3B"/>
    <w:rsid w:val="09E85885"/>
    <w:rsid w:val="09EC5C14"/>
    <w:rsid w:val="09F064E7"/>
    <w:rsid w:val="0A3E54A5"/>
    <w:rsid w:val="0A5B7E63"/>
    <w:rsid w:val="0A70000C"/>
    <w:rsid w:val="0A711124"/>
    <w:rsid w:val="0AA051FF"/>
    <w:rsid w:val="0AA06DB3"/>
    <w:rsid w:val="0AAB1E57"/>
    <w:rsid w:val="0AFA13CC"/>
    <w:rsid w:val="0B0267BC"/>
    <w:rsid w:val="0B352F04"/>
    <w:rsid w:val="0B3F6AC1"/>
    <w:rsid w:val="0B582596"/>
    <w:rsid w:val="0B7C44D7"/>
    <w:rsid w:val="0BA75FB3"/>
    <w:rsid w:val="0BC92AFC"/>
    <w:rsid w:val="0BDC6C91"/>
    <w:rsid w:val="0BE8391A"/>
    <w:rsid w:val="0C1C7A68"/>
    <w:rsid w:val="0C87121B"/>
    <w:rsid w:val="0C8E3A4F"/>
    <w:rsid w:val="0CBD0497"/>
    <w:rsid w:val="0CE21134"/>
    <w:rsid w:val="0CE51C08"/>
    <w:rsid w:val="0CE95F54"/>
    <w:rsid w:val="0CEA3EAD"/>
    <w:rsid w:val="0D3A65FB"/>
    <w:rsid w:val="0D710786"/>
    <w:rsid w:val="0D84512F"/>
    <w:rsid w:val="0D8463C1"/>
    <w:rsid w:val="0DAC78C2"/>
    <w:rsid w:val="0DD42135"/>
    <w:rsid w:val="0DDF2AFB"/>
    <w:rsid w:val="0DF702FE"/>
    <w:rsid w:val="0E2B124B"/>
    <w:rsid w:val="0E53677C"/>
    <w:rsid w:val="0E7D26B6"/>
    <w:rsid w:val="0E924E11"/>
    <w:rsid w:val="0E9E6E62"/>
    <w:rsid w:val="0EB36461"/>
    <w:rsid w:val="0EB750E2"/>
    <w:rsid w:val="0F657030"/>
    <w:rsid w:val="0F816ACD"/>
    <w:rsid w:val="0FB94AA9"/>
    <w:rsid w:val="0FD44A90"/>
    <w:rsid w:val="10550967"/>
    <w:rsid w:val="1085333E"/>
    <w:rsid w:val="10913E33"/>
    <w:rsid w:val="10A737F6"/>
    <w:rsid w:val="10B7152C"/>
    <w:rsid w:val="10E010C1"/>
    <w:rsid w:val="10EF73F7"/>
    <w:rsid w:val="10FC16EA"/>
    <w:rsid w:val="110358CF"/>
    <w:rsid w:val="111849F8"/>
    <w:rsid w:val="112930C0"/>
    <w:rsid w:val="118963A1"/>
    <w:rsid w:val="118A5A25"/>
    <w:rsid w:val="11A17EE3"/>
    <w:rsid w:val="11E675E7"/>
    <w:rsid w:val="120A5DA9"/>
    <w:rsid w:val="12163467"/>
    <w:rsid w:val="121865DB"/>
    <w:rsid w:val="124404F1"/>
    <w:rsid w:val="12741B5C"/>
    <w:rsid w:val="127723A9"/>
    <w:rsid w:val="128B14A3"/>
    <w:rsid w:val="13072A44"/>
    <w:rsid w:val="130B45A9"/>
    <w:rsid w:val="13173672"/>
    <w:rsid w:val="13414693"/>
    <w:rsid w:val="13497FBE"/>
    <w:rsid w:val="135B48AB"/>
    <w:rsid w:val="135D2E40"/>
    <w:rsid w:val="137C5628"/>
    <w:rsid w:val="138403CC"/>
    <w:rsid w:val="13B81E24"/>
    <w:rsid w:val="145543E5"/>
    <w:rsid w:val="146855F8"/>
    <w:rsid w:val="146F5822"/>
    <w:rsid w:val="149B4CA4"/>
    <w:rsid w:val="14E530ED"/>
    <w:rsid w:val="151C63E2"/>
    <w:rsid w:val="15280237"/>
    <w:rsid w:val="15761F97"/>
    <w:rsid w:val="15C27407"/>
    <w:rsid w:val="15C312F8"/>
    <w:rsid w:val="161458E9"/>
    <w:rsid w:val="16167586"/>
    <w:rsid w:val="162F1D9B"/>
    <w:rsid w:val="1670582E"/>
    <w:rsid w:val="168B3A44"/>
    <w:rsid w:val="16A11B76"/>
    <w:rsid w:val="16E50215"/>
    <w:rsid w:val="16ED658F"/>
    <w:rsid w:val="16FB6BF7"/>
    <w:rsid w:val="170D1560"/>
    <w:rsid w:val="17122F1C"/>
    <w:rsid w:val="1725434E"/>
    <w:rsid w:val="17285513"/>
    <w:rsid w:val="172872C1"/>
    <w:rsid w:val="174C5939"/>
    <w:rsid w:val="17575842"/>
    <w:rsid w:val="1776002C"/>
    <w:rsid w:val="179D1A88"/>
    <w:rsid w:val="17A01DF7"/>
    <w:rsid w:val="17A34593"/>
    <w:rsid w:val="17A56B63"/>
    <w:rsid w:val="17BC0C0E"/>
    <w:rsid w:val="17BE67C6"/>
    <w:rsid w:val="17C419E7"/>
    <w:rsid w:val="17DF2075"/>
    <w:rsid w:val="17F65752"/>
    <w:rsid w:val="181E7FC0"/>
    <w:rsid w:val="18370F38"/>
    <w:rsid w:val="187B777C"/>
    <w:rsid w:val="188835D3"/>
    <w:rsid w:val="189A77EE"/>
    <w:rsid w:val="18B352B0"/>
    <w:rsid w:val="18C33745"/>
    <w:rsid w:val="18CB25F9"/>
    <w:rsid w:val="190A1374"/>
    <w:rsid w:val="195E3AFB"/>
    <w:rsid w:val="198729C4"/>
    <w:rsid w:val="19A76BC3"/>
    <w:rsid w:val="1A44389A"/>
    <w:rsid w:val="1A554870"/>
    <w:rsid w:val="1A6C1BBA"/>
    <w:rsid w:val="1A7867B1"/>
    <w:rsid w:val="1AD75C13"/>
    <w:rsid w:val="1B092F26"/>
    <w:rsid w:val="1B0D5A1A"/>
    <w:rsid w:val="1B100843"/>
    <w:rsid w:val="1B1F47F5"/>
    <w:rsid w:val="1B2A271F"/>
    <w:rsid w:val="1B4D5548"/>
    <w:rsid w:val="1B5865E6"/>
    <w:rsid w:val="1B9F0378"/>
    <w:rsid w:val="1BB70A6C"/>
    <w:rsid w:val="1BBC26CD"/>
    <w:rsid w:val="1BC05554"/>
    <w:rsid w:val="1BC10E8D"/>
    <w:rsid w:val="1BF0428C"/>
    <w:rsid w:val="1C202C5C"/>
    <w:rsid w:val="1C35495A"/>
    <w:rsid w:val="1C370605"/>
    <w:rsid w:val="1C705335"/>
    <w:rsid w:val="1C73104C"/>
    <w:rsid w:val="1C944144"/>
    <w:rsid w:val="1C986C96"/>
    <w:rsid w:val="1CAE6BBC"/>
    <w:rsid w:val="1CCC6940"/>
    <w:rsid w:val="1CE37308"/>
    <w:rsid w:val="1CE67443"/>
    <w:rsid w:val="1CE974F2"/>
    <w:rsid w:val="1CF902A5"/>
    <w:rsid w:val="1CFB79C6"/>
    <w:rsid w:val="1D061E52"/>
    <w:rsid w:val="1D266CE1"/>
    <w:rsid w:val="1D295B40"/>
    <w:rsid w:val="1D3963AF"/>
    <w:rsid w:val="1D4D5E8E"/>
    <w:rsid w:val="1D762EC8"/>
    <w:rsid w:val="1D7F6A82"/>
    <w:rsid w:val="1D8175A5"/>
    <w:rsid w:val="1D832687"/>
    <w:rsid w:val="1D83500D"/>
    <w:rsid w:val="1E0A530C"/>
    <w:rsid w:val="1E0D2147"/>
    <w:rsid w:val="1E3465FF"/>
    <w:rsid w:val="1E601A36"/>
    <w:rsid w:val="1E714A66"/>
    <w:rsid w:val="1E796654"/>
    <w:rsid w:val="1E886C9D"/>
    <w:rsid w:val="1EAD0046"/>
    <w:rsid w:val="1EAE09F3"/>
    <w:rsid w:val="1ECF22A8"/>
    <w:rsid w:val="1EDD3086"/>
    <w:rsid w:val="1EE551B2"/>
    <w:rsid w:val="1EE7764E"/>
    <w:rsid w:val="1EF34658"/>
    <w:rsid w:val="1F0A6DC3"/>
    <w:rsid w:val="1F0F54A8"/>
    <w:rsid w:val="1F3B6EBB"/>
    <w:rsid w:val="1F62533A"/>
    <w:rsid w:val="1F7A6B27"/>
    <w:rsid w:val="1F7C7B91"/>
    <w:rsid w:val="1FC13803"/>
    <w:rsid w:val="1FC17A0D"/>
    <w:rsid w:val="1FC62CB1"/>
    <w:rsid w:val="1FE627DD"/>
    <w:rsid w:val="1FE868A9"/>
    <w:rsid w:val="1FF5350D"/>
    <w:rsid w:val="20036B1D"/>
    <w:rsid w:val="204E6847"/>
    <w:rsid w:val="207F084A"/>
    <w:rsid w:val="20AD351B"/>
    <w:rsid w:val="20BA3BA7"/>
    <w:rsid w:val="20C75D9C"/>
    <w:rsid w:val="20E250CB"/>
    <w:rsid w:val="213B0D78"/>
    <w:rsid w:val="214473ED"/>
    <w:rsid w:val="21505D92"/>
    <w:rsid w:val="21722593"/>
    <w:rsid w:val="217658F9"/>
    <w:rsid w:val="217C668E"/>
    <w:rsid w:val="219E6AFD"/>
    <w:rsid w:val="21DB4464"/>
    <w:rsid w:val="2217605D"/>
    <w:rsid w:val="2220020B"/>
    <w:rsid w:val="222B63E9"/>
    <w:rsid w:val="225D5AB1"/>
    <w:rsid w:val="22686418"/>
    <w:rsid w:val="22E77460"/>
    <w:rsid w:val="23055FD8"/>
    <w:rsid w:val="2329689A"/>
    <w:rsid w:val="232A7827"/>
    <w:rsid w:val="23353491"/>
    <w:rsid w:val="2351124D"/>
    <w:rsid w:val="236478D2"/>
    <w:rsid w:val="237F19E8"/>
    <w:rsid w:val="23C34B4D"/>
    <w:rsid w:val="23ED0E03"/>
    <w:rsid w:val="244514B2"/>
    <w:rsid w:val="24860EE4"/>
    <w:rsid w:val="24861ACA"/>
    <w:rsid w:val="2490101C"/>
    <w:rsid w:val="24AE56A0"/>
    <w:rsid w:val="24E748D0"/>
    <w:rsid w:val="24EB3563"/>
    <w:rsid w:val="24F06DB3"/>
    <w:rsid w:val="25237CF4"/>
    <w:rsid w:val="25265E74"/>
    <w:rsid w:val="255C221D"/>
    <w:rsid w:val="257E0B86"/>
    <w:rsid w:val="257E5ED0"/>
    <w:rsid w:val="25861231"/>
    <w:rsid w:val="25A556BF"/>
    <w:rsid w:val="25D54AB7"/>
    <w:rsid w:val="25D80104"/>
    <w:rsid w:val="25DD396C"/>
    <w:rsid w:val="26226DDC"/>
    <w:rsid w:val="263A6020"/>
    <w:rsid w:val="2641214D"/>
    <w:rsid w:val="264A1001"/>
    <w:rsid w:val="264D464E"/>
    <w:rsid w:val="26A85D28"/>
    <w:rsid w:val="26BA0A4A"/>
    <w:rsid w:val="26C8461C"/>
    <w:rsid w:val="26E91449"/>
    <w:rsid w:val="2702368A"/>
    <w:rsid w:val="2714160F"/>
    <w:rsid w:val="27271343"/>
    <w:rsid w:val="276C7A9B"/>
    <w:rsid w:val="27E65F87"/>
    <w:rsid w:val="28013942"/>
    <w:rsid w:val="28051028"/>
    <w:rsid w:val="2822331D"/>
    <w:rsid w:val="28377363"/>
    <w:rsid w:val="28434545"/>
    <w:rsid w:val="284B5813"/>
    <w:rsid w:val="285F54D9"/>
    <w:rsid w:val="285F6637"/>
    <w:rsid w:val="286363AA"/>
    <w:rsid w:val="286640ED"/>
    <w:rsid w:val="288D4D42"/>
    <w:rsid w:val="28C339E0"/>
    <w:rsid w:val="28CB21A2"/>
    <w:rsid w:val="28EC2844"/>
    <w:rsid w:val="29105867"/>
    <w:rsid w:val="29427D6A"/>
    <w:rsid w:val="29AB625B"/>
    <w:rsid w:val="29C54E43"/>
    <w:rsid w:val="29E70844"/>
    <w:rsid w:val="2A5C57A7"/>
    <w:rsid w:val="2A6B1546"/>
    <w:rsid w:val="2A8D5A19"/>
    <w:rsid w:val="2AC80ACB"/>
    <w:rsid w:val="2B5B5D72"/>
    <w:rsid w:val="2B623021"/>
    <w:rsid w:val="2B715282"/>
    <w:rsid w:val="2B71540F"/>
    <w:rsid w:val="2BA16ED3"/>
    <w:rsid w:val="2BDE2B57"/>
    <w:rsid w:val="2BEC2B5B"/>
    <w:rsid w:val="2C0933DD"/>
    <w:rsid w:val="2C152DB5"/>
    <w:rsid w:val="2C4630FB"/>
    <w:rsid w:val="2C78619D"/>
    <w:rsid w:val="2C7A0167"/>
    <w:rsid w:val="2C857BF3"/>
    <w:rsid w:val="2C9A7991"/>
    <w:rsid w:val="2D0D7B88"/>
    <w:rsid w:val="2D404F0C"/>
    <w:rsid w:val="2D742E08"/>
    <w:rsid w:val="2DBB0A37"/>
    <w:rsid w:val="2DD15014"/>
    <w:rsid w:val="2DD65871"/>
    <w:rsid w:val="2E0F2B31"/>
    <w:rsid w:val="2E1B7598"/>
    <w:rsid w:val="2E3D31FA"/>
    <w:rsid w:val="2E5F5866"/>
    <w:rsid w:val="2E61338C"/>
    <w:rsid w:val="2E677D38"/>
    <w:rsid w:val="2EDC2A13"/>
    <w:rsid w:val="2F274E83"/>
    <w:rsid w:val="2F29570B"/>
    <w:rsid w:val="2F4B0DD2"/>
    <w:rsid w:val="2F8F356E"/>
    <w:rsid w:val="2FD25781"/>
    <w:rsid w:val="2FD951A4"/>
    <w:rsid w:val="2FFD2CC7"/>
    <w:rsid w:val="301165DA"/>
    <w:rsid w:val="30405223"/>
    <w:rsid w:val="308960F0"/>
    <w:rsid w:val="30A15875"/>
    <w:rsid w:val="30A56736"/>
    <w:rsid w:val="30B939DE"/>
    <w:rsid w:val="30CE79A8"/>
    <w:rsid w:val="30EB1633"/>
    <w:rsid w:val="30EF3D39"/>
    <w:rsid w:val="31227527"/>
    <w:rsid w:val="31466A4E"/>
    <w:rsid w:val="314901BE"/>
    <w:rsid w:val="315F16D9"/>
    <w:rsid w:val="317927DB"/>
    <w:rsid w:val="317E6003"/>
    <w:rsid w:val="31870A8C"/>
    <w:rsid w:val="318D3071"/>
    <w:rsid w:val="3193369B"/>
    <w:rsid w:val="319C6071"/>
    <w:rsid w:val="31B22151"/>
    <w:rsid w:val="31BB7257"/>
    <w:rsid w:val="32001F60"/>
    <w:rsid w:val="32062FF1"/>
    <w:rsid w:val="321F6690"/>
    <w:rsid w:val="32482A68"/>
    <w:rsid w:val="3268280F"/>
    <w:rsid w:val="327F7168"/>
    <w:rsid w:val="328E0844"/>
    <w:rsid w:val="329249EA"/>
    <w:rsid w:val="32953EF6"/>
    <w:rsid w:val="32AC3044"/>
    <w:rsid w:val="32E3328D"/>
    <w:rsid w:val="32F01CF9"/>
    <w:rsid w:val="33007587"/>
    <w:rsid w:val="33370B5F"/>
    <w:rsid w:val="33405327"/>
    <w:rsid w:val="33430375"/>
    <w:rsid w:val="335742B3"/>
    <w:rsid w:val="33A37E2B"/>
    <w:rsid w:val="33C469FA"/>
    <w:rsid w:val="33D40E25"/>
    <w:rsid w:val="33D75F1F"/>
    <w:rsid w:val="33DF6B01"/>
    <w:rsid w:val="34117602"/>
    <w:rsid w:val="342E63AB"/>
    <w:rsid w:val="344C085E"/>
    <w:rsid w:val="35275551"/>
    <w:rsid w:val="35700359"/>
    <w:rsid w:val="35831047"/>
    <w:rsid w:val="35D408E8"/>
    <w:rsid w:val="35EF127D"/>
    <w:rsid w:val="360B1E2F"/>
    <w:rsid w:val="362C24D2"/>
    <w:rsid w:val="364649EC"/>
    <w:rsid w:val="365302AE"/>
    <w:rsid w:val="3658762C"/>
    <w:rsid w:val="365D67EB"/>
    <w:rsid w:val="36A20866"/>
    <w:rsid w:val="36BB5604"/>
    <w:rsid w:val="36CD591E"/>
    <w:rsid w:val="36EC7FA3"/>
    <w:rsid w:val="370E1BD7"/>
    <w:rsid w:val="37305FF2"/>
    <w:rsid w:val="37672D54"/>
    <w:rsid w:val="379876B4"/>
    <w:rsid w:val="37B26B9E"/>
    <w:rsid w:val="382B66A0"/>
    <w:rsid w:val="386D6DD1"/>
    <w:rsid w:val="388E5275"/>
    <w:rsid w:val="38961E84"/>
    <w:rsid w:val="38981423"/>
    <w:rsid w:val="38E30E42"/>
    <w:rsid w:val="38E40555"/>
    <w:rsid w:val="398576CC"/>
    <w:rsid w:val="39990BEE"/>
    <w:rsid w:val="399C304B"/>
    <w:rsid w:val="39A363FB"/>
    <w:rsid w:val="39B33898"/>
    <w:rsid w:val="39B439E6"/>
    <w:rsid w:val="39D0704E"/>
    <w:rsid w:val="39E62997"/>
    <w:rsid w:val="3A045513"/>
    <w:rsid w:val="3A2259A8"/>
    <w:rsid w:val="3A322C5A"/>
    <w:rsid w:val="3A561B54"/>
    <w:rsid w:val="3A667F7C"/>
    <w:rsid w:val="3B0227C4"/>
    <w:rsid w:val="3B252077"/>
    <w:rsid w:val="3B3221E0"/>
    <w:rsid w:val="3BA7084C"/>
    <w:rsid w:val="3BC9431F"/>
    <w:rsid w:val="3BD31641"/>
    <w:rsid w:val="3BE850ED"/>
    <w:rsid w:val="3BED44B1"/>
    <w:rsid w:val="3C3B0FB9"/>
    <w:rsid w:val="3C5F759A"/>
    <w:rsid w:val="3C7249B6"/>
    <w:rsid w:val="3C824100"/>
    <w:rsid w:val="3C8433F7"/>
    <w:rsid w:val="3C897B28"/>
    <w:rsid w:val="3D0F4820"/>
    <w:rsid w:val="3D2056B7"/>
    <w:rsid w:val="3D393726"/>
    <w:rsid w:val="3DA46197"/>
    <w:rsid w:val="3DAD4D93"/>
    <w:rsid w:val="3DD70862"/>
    <w:rsid w:val="3DDD0C8A"/>
    <w:rsid w:val="3DED2D3D"/>
    <w:rsid w:val="3DFA74C8"/>
    <w:rsid w:val="3E1F46CA"/>
    <w:rsid w:val="3E21047D"/>
    <w:rsid w:val="3E2A548E"/>
    <w:rsid w:val="3E2A789D"/>
    <w:rsid w:val="3E3723E8"/>
    <w:rsid w:val="3E9B434E"/>
    <w:rsid w:val="3EC139D3"/>
    <w:rsid w:val="3EC81656"/>
    <w:rsid w:val="3ED2273B"/>
    <w:rsid w:val="3ED516E1"/>
    <w:rsid w:val="3EF23B8C"/>
    <w:rsid w:val="3F316FFA"/>
    <w:rsid w:val="3F420216"/>
    <w:rsid w:val="3F4563B2"/>
    <w:rsid w:val="3F4C5993"/>
    <w:rsid w:val="3FEC0F24"/>
    <w:rsid w:val="401228F6"/>
    <w:rsid w:val="4044666A"/>
    <w:rsid w:val="404B79F8"/>
    <w:rsid w:val="404E2A10"/>
    <w:rsid w:val="405F2248"/>
    <w:rsid w:val="406805AA"/>
    <w:rsid w:val="407D4B6A"/>
    <w:rsid w:val="40A84E4B"/>
    <w:rsid w:val="40DA0A3B"/>
    <w:rsid w:val="40E045E4"/>
    <w:rsid w:val="40ED6D01"/>
    <w:rsid w:val="40EE65D6"/>
    <w:rsid w:val="40F07788"/>
    <w:rsid w:val="412119C6"/>
    <w:rsid w:val="4138444E"/>
    <w:rsid w:val="417302AC"/>
    <w:rsid w:val="419D0727"/>
    <w:rsid w:val="41F26D9D"/>
    <w:rsid w:val="42191E1B"/>
    <w:rsid w:val="422C3859"/>
    <w:rsid w:val="423544BC"/>
    <w:rsid w:val="428020A0"/>
    <w:rsid w:val="42AB5B89"/>
    <w:rsid w:val="42CA745D"/>
    <w:rsid w:val="42CD5064"/>
    <w:rsid w:val="42E1381E"/>
    <w:rsid w:val="42E32353"/>
    <w:rsid w:val="42E67EAC"/>
    <w:rsid w:val="43120CA1"/>
    <w:rsid w:val="431E13F4"/>
    <w:rsid w:val="433E469E"/>
    <w:rsid w:val="43613359"/>
    <w:rsid w:val="43A53661"/>
    <w:rsid w:val="44004F9E"/>
    <w:rsid w:val="442448B0"/>
    <w:rsid w:val="444624FE"/>
    <w:rsid w:val="44565A77"/>
    <w:rsid w:val="44760F33"/>
    <w:rsid w:val="4476352A"/>
    <w:rsid w:val="4480414E"/>
    <w:rsid w:val="44C138E2"/>
    <w:rsid w:val="44D052EB"/>
    <w:rsid w:val="44E41552"/>
    <w:rsid w:val="45285E2C"/>
    <w:rsid w:val="45294080"/>
    <w:rsid w:val="4530540F"/>
    <w:rsid w:val="455250D1"/>
    <w:rsid w:val="455F77C0"/>
    <w:rsid w:val="45813EBC"/>
    <w:rsid w:val="45A121C9"/>
    <w:rsid w:val="45B42B24"/>
    <w:rsid w:val="45F26E8B"/>
    <w:rsid w:val="46267511"/>
    <w:rsid w:val="46447735"/>
    <w:rsid w:val="46594D41"/>
    <w:rsid w:val="467D1EAD"/>
    <w:rsid w:val="46CE2808"/>
    <w:rsid w:val="46DD0915"/>
    <w:rsid w:val="46EB4D18"/>
    <w:rsid w:val="471C6949"/>
    <w:rsid w:val="47765479"/>
    <w:rsid w:val="478C4561"/>
    <w:rsid w:val="478D4D9A"/>
    <w:rsid w:val="47906638"/>
    <w:rsid w:val="47943153"/>
    <w:rsid w:val="47E720ED"/>
    <w:rsid w:val="481C08AF"/>
    <w:rsid w:val="481F55D3"/>
    <w:rsid w:val="484073BE"/>
    <w:rsid w:val="4847319B"/>
    <w:rsid w:val="488F52B3"/>
    <w:rsid w:val="48E00EFA"/>
    <w:rsid w:val="4914504B"/>
    <w:rsid w:val="496408FF"/>
    <w:rsid w:val="499E29A5"/>
    <w:rsid w:val="49BA51BE"/>
    <w:rsid w:val="49BF01B9"/>
    <w:rsid w:val="4A063282"/>
    <w:rsid w:val="4A873D23"/>
    <w:rsid w:val="4A8A3813"/>
    <w:rsid w:val="4A9D52F4"/>
    <w:rsid w:val="4AA77F21"/>
    <w:rsid w:val="4AB32B4A"/>
    <w:rsid w:val="4ACC6DC8"/>
    <w:rsid w:val="4B513D34"/>
    <w:rsid w:val="4B766BE1"/>
    <w:rsid w:val="4B871B00"/>
    <w:rsid w:val="4B920ED8"/>
    <w:rsid w:val="4B9E1324"/>
    <w:rsid w:val="4BAF1783"/>
    <w:rsid w:val="4BD12D6B"/>
    <w:rsid w:val="4BFE7FC1"/>
    <w:rsid w:val="4C12446D"/>
    <w:rsid w:val="4C4D4AF8"/>
    <w:rsid w:val="4C6E40A6"/>
    <w:rsid w:val="4C9D5A7F"/>
    <w:rsid w:val="4CE4214A"/>
    <w:rsid w:val="4D07114B"/>
    <w:rsid w:val="4D1B570E"/>
    <w:rsid w:val="4D417DBC"/>
    <w:rsid w:val="4D431A31"/>
    <w:rsid w:val="4D626E4D"/>
    <w:rsid w:val="4D844549"/>
    <w:rsid w:val="4D8E1CD6"/>
    <w:rsid w:val="4D8F614B"/>
    <w:rsid w:val="4D951FBD"/>
    <w:rsid w:val="4DA459CA"/>
    <w:rsid w:val="4DBC1B25"/>
    <w:rsid w:val="4DD76D6F"/>
    <w:rsid w:val="4E035DB6"/>
    <w:rsid w:val="4E0C1765"/>
    <w:rsid w:val="4E201F32"/>
    <w:rsid w:val="4E430CA0"/>
    <w:rsid w:val="4E807407"/>
    <w:rsid w:val="4E8F7614"/>
    <w:rsid w:val="4E9B5FEF"/>
    <w:rsid w:val="4E9C42E9"/>
    <w:rsid w:val="4EA96C79"/>
    <w:rsid w:val="4EDD70AD"/>
    <w:rsid w:val="4EFA0F67"/>
    <w:rsid w:val="4F09170E"/>
    <w:rsid w:val="4F3722AB"/>
    <w:rsid w:val="4F381A8F"/>
    <w:rsid w:val="4F7C478E"/>
    <w:rsid w:val="4F8E5C89"/>
    <w:rsid w:val="4F994FA8"/>
    <w:rsid w:val="4FAA4158"/>
    <w:rsid w:val="4FAD422B"/>
    <w:rsid w:val="4FB71A4F"/>
    <w:rsid w:val="500D6A78"/>
    <w:rsid w:val="50281B04"/>
    <w:rsid w:val="50462D59"/>
    <w:rsid w:val="505A24E0"/>
    <w:rsid w:val="506B19F1"/>
    <w:rsid w:val="50812FC2"/>
    <w:rsid w:val="50925279"/>
    <w:rsid w:val="509B0528"/>
    <w:rsid w:val="50AA5105"/>
    <w:rsid w:val="50CA138F"/>
    <w:rsid w:val="50EC2B32"/>
    <w:rsid w:val="50ED66AA"/>
    <w:rsid w:val="50F6575E"/>
    <w:rsid w:val="51247AAC"/>
    <w:rsid w:val="514C537E"/>
    <w:rsid w:val="515003FA"/>
    <w:rsid w:val="51687A61"/>
    <w:rsid w:val="519E4F32"/>
    <w:rsid w:val="51A0432A"/>
    <w:rsid w:val="51AC0513"/>
    <w:rsid w:val="51CF4131"/>
    <w:rsid w:val="51F223CA"/>
    <w:rsid w:val="522D51B0"/>
    <w:rsid w:val="523627F6"/>
    <w:rsid w:val="5246001F"/>
    <w:rsid w:val="524F4DFB"/>
    <w:rsid w:val="527774D3"/>
    <w:rsid w:val="52A96B6F"/>
    <w:rsid w:val="52BA04CC"/>
    <w:rsid w:val="53235B23"/>
    <w:rsid w:val="534A736A"/>
    <w:rsid w:val="537865C5"/>
    <w:rsid w:val="538641F0"/>
    <w:rsid w:val="53967EAD"/>
    <w:rsid w:val="539C0175"/>
    <w:rsid w:val="53E144A4"/>
    <w:rsid w:val="543D36A4"/>
    <w:rsid w:val="544762D1"/>
    <w:rsid w:val="546B6463"/>
    <w:rsid w:val="54992FD0"/>
    <w:rsid w:val="54996B2C"/>
    <w:rsid w:val="549F1015"/>
    <w:rsid w:val="54D22327"/>
    <w:rsid w:val="550764A4"/>
    <w:rsid w:val="551116AB"/>
    <w:rsid w:val="55366A71"/>
    <w:rsid w:val="55441109"/>
    <w:rsid w:val="55472A2C"/>
    <w:rsid w:val="554F446C"/>
    <w:rsid w:val="55AF2380"/>
    <w:rsid w:val="55F70887"/>
    <w:rsid w:val="56101070"/>
    <w:rsid w:val="562C1C22"/>
    <w:rsid w:val="564E1B99"/>
    <w:rsid w:val="56B04A7B"/>
    <w:rsid w:val="56C05DE0"/>
    <w:rsid w:val="56D13882"/>
    <w:rsid w:val="56F004E8"/>
    <w:rsid w:val="57275755"/>
    <w:rsid w:val="572B15A7"/>
    <w:rsid w:val="57642B60"/>
    <w:rsid w:val="57B3707C"/>
    <w:rsid w:val="57C61AE4"/>
    <w:rsid w:val="57D305A7"/>
    <w:rsid w:val="57E52067"/>
    <w:rsid w:val="58020D56"/>
    <w:rsid w:val="582C7CB7"/>
    <w:rsid w:val="58467114"/>
    <w:rsid w:val="5856440F"/>
    <w:rsid w:val="585C6970"/>
    <w:rsid w:val="58711B6E"/>
    <w:rsid w:val="5876588A"/>
    <w:rsid w:val="588A59E8"/>
    <w:rsid w:val="58AE4F0C"/>
    <w:rsid w:val="58D77C23"/>
    <w:rsid w:val="58DD0FB2"/>
    <w:rsid w:val="58DF11CE"/>
    <w:rsid w:val="58F200BF"/>
    <w:rsid w:val="58F46A27"/>
    <w:rsid w:val="59072C51"/>
    <w:rsid w:val="591B0474"/>
    <w:rsid w:val="592F5177"/>
    <w:rsid w:val="593A700F"/>
    <w:rsid w:val="595B394C"/>
    <w:rsid w:val="59627B25"/>
    <w:rsid w:val="59943D66"/>
    <w:rsid w:val="59E44CEE"/>
    <w:rsid w:val="5A2A7C7B"/>
    <w:rsid w:val="5A537537"/>
    <w:rsid w:val="5ABC0B62"/>
    <w:rsid w:val="5ACE32A8"/>
    <w:rsid w:val="5AE44D9F"/>
    <w:rsid w:val="5AED35E8"/>
    <w:rsid w:val="5AF0644D"/>
    <w:rsid w:val="5B0B62AA"/>
    <w:rsid w:val="5B0C45BD"/>
    <w:rsid w:val="5B0D2022"/>
    <w:rsid w:val="5B0F1027"/>
    <w:rsid w:val="5B2F1F99"/>
    <w:rsid w:val="5BA40E76"/>
    <w:rsid w:val="5BBB2421"/>
    <w:rsid w:val="5BDF73AA"/>
    <w:rsid w:val="5BF31218"/>
    <w:rsid w:val="5C2A6758"/>
    <w:rsid w:val="5C3343BC"/>
    <w:rsid w:val="5C80234E"/>
    <w:rsid w:val="5C8641D7"/>
    <w:rsid w:val="5CE21672"/>
    <w:rsid w:val="5D2E4D5C"/>
    <w:rsid w:val="5DFC1EDA"/>
    <w:rsid w:val="5E084A2C"/>
    <w:rsid w:val="5E084D23"/>
    <w:rsid w:val="5E0D40E7"/>
    <w:rsid w:val="5E1A5E3F"/>
    <w:rsid w:val="5E261785"/>
    <w:rsid w:val="5E6A0EA5"/>
    <w:rsid w:val="5E826883"/>
    <w:rsid w:val="5E8D459C"/>
    <w:rsid w:val="5EB50A07"/>
    <w:rsid w:val="5EE17A4E"/>
    <w:rsid w:val="5F10510E"/>
    <w:rsid w:val="5F2B3C49"/>
    <w:rsid w:val="5F9A19AB"/>
    <w:rsid w:val="5F9D3708"/>
    <w:rsid w:val="5FB95BC6"/>
    <w:rsid w:val="5FCC5339"/>
    <w:rsid w:val="5FF53CE9"/>
    <w:rsid w:val="5FF63C52"/>
    <w:rsid w:val="6021037A"/>
    <w:rsid w:val="60382E98"/>
    <w:rsid w:val="60445EB3"/>
    <w:rsid w:val="604C6C11"/>
    <w:rsid w:val="606A3A96"/>
    <w:rsid w:val="60830691"/>
    <w:rsid w:val="60855343"/>
    <w:rsid w:val="60930502"/>
    <w:rsid w:val="60A637AC"/>
    <w:rsid w:val="60AB2BF8"/>
    <w:rsid w:val="60C93611"/>
    <w:rsid w:val="60DC5815"/>
    <w:rsid w:val="60E631BD"/>
    <w:rsid w:val="61054A27"/>
    <w:rsid w:val="610572F8"/>
    <w:rsid w:val="610B7004"/>
    <w:rsid w:val="6114761D"/>
    <w:rsid w:val="611D2366"/>
    <w:rsid w:val="614068C9"/>
    <w:rsid w:val="61DB667B"/>
    <w:rsid w:val="61E46B14"/>
    <w:rsid w:val="61E83289"/>
    <w:rsid w:val="61EF5138"/>
    <w:rsid w:val="620023C7"/>
    <w:rsid w:val="62150F26"/>
    <w:rsid w:val="62157A0E"/>
    <w:rsid w:val="622513DD"/>
    <w:rsid w:val="624C13E9"/>
    <w:rsid w:val="62885958"/>
    <w:rsid w:val="62AC5837"/>
    <w:rsid w:val="62C751AC"/>
    <w:rsid w:val="62E33669"/>
    <w:rsid w:val="62E85864"/>
    <w:rsid w:val="630B0B6F"/>
    <w:rsid w:val="630D7AA2"/>
    <w:rsid w:val="6324615B"/>
    <w:rsid w:val="633839B4"/>
    <w:rsid w:val="637507CD"/>
    <w:rsid w:val="63975118"/>
    <w:rsid w:val="63E82FD8"/>
    <w:rsid w:val="64191A38"/>
    <w:rsid w:val="643E41AF"/>
    <w:rsid w:val="64703142"/>
    <w:rsid w:val="647A6070"/>
    <w:rsid w:val="647C1FC7"/>
    <w:rsid w:val="64877387"/>
    <w:rsid w:val="648A4251"/>
    <w:rsid w:val="648C220A"/>
    <w:rsid w:val="64AD52E7"/>
    <w:rsid w:val="64CE2EAA"/>
    <w:rsid w:val="64DE60CD"/>
    <w:rsid w:val="651B4002"/>
    <w:rsid w:val="651E72A0"/>
    <w:rsid w:val="652B3FD1"/>
    <w:rsid w:val="657607C4"/>
    <w:rsid w:val="658721E6"/>
    <w:rsid w:val="65895009"/>
    <w:rsid w:val="65B93350"/>
    <w:rsid w:val="65BD0BFE"/>
    <w:rsid w:val="65E10333"/>
    <w:rsid w:val="65EB7404"/>
    <w:rsid w:val="65F5200F"/>
    <w:rsid w:val="66055ADA"/>
    <w:rsid w:val="66187A52"/>
    <w:rsid w:val="662E75B1"/>
    <w:rsid w:val="66342C2E"/>
    <w:rsid w:val="663E784C"/>
    <w:rsid w:val="6655487D"/>
    <w:rsid w:val="66950E7F"/>
    <w:rsid w:val="669C2647"/>
    <w:rsid w:val="66C072F5"/>
    <w:rsid w:val="66D07594"/>
    <w:rsid w:val="670047E9"/>
    <w:rsid w:val="671745FC"/>
    <w:rsid w:val="675C1782"/>
    <w:rsid w:val="677F7E04"/>
    <w:rsid w:val="6790369D"/>
    <w:rsid w:val="67D93618"/>
    <w:rsid w:val="68261CC4"/>
    <w:rsid w:val="68343CC5"/>
    <w:rsid w:val="68401C64"/>
    <w:rsid w:val="684849C6"/>
    <w:rsid w:val="68705312"/>
    <w:rsid w:val="68914293"/>
    <w:rsid w:val="68DE0B5A"/>
    <w:rsid w:val="690C27AB"/>
    <w:rsid w:val="690D7691"/>
    <w:rsid w:val="693410C2"/>
    <w:rsid w:val="6942558D"/>
    <w:rsid w:val="696B74C4"/>
    <w:rsid w:val="69777DE2"/>
    <w:rsid w:val="697A1104"/>
    <w:rsid w:val="698B348F"/>
    <w:rsid w:val="69A86236"/>
    <w:rsid w:val="69AA3132"/>
    <w:rsid w:val="69F00E5C"/>
    <w:rsid w:val="6A1C750D"/>
    <w:rsid w:val="6A4E7F61"/>
    <w:rsid w:val="6A617E02"/>
    <w:rsid w:val="6A620582"/>
    <w:rsid w:val="6A6837D1"/>
    <w:rsid w:val="6A6D488B"/>
    <w:rsid w:val="6A8E0FFC"/>
    <w:rsid w:val="6AA16C75"/>
    <w:rsid w:val="6ABB1498"/>
    <w:rsid w:val="6AF97ECD"/>
    <w:rsid w:val="6B0A41B2"/>
    <w:rsid w:val="6B256F14"/>
    <w:rsid w:val="6B52226C"/>
    <w:rsid w:val="6B5C6424"/>
    <w:rsid w:val="6B735ED1"/>
    <w:rsid w:val="6BBE4C73"/>
    <w:rsid w:val="6BD36970"/>
    <w:rsid w:val="6BF80185"/>
    <w:rsid w:val="6C38732C"/>
    <w:rsid w:val="6C680C88"/>
    <w:rsid w:val="6C81092E"/>
    <w:rsid w:val="6CF30F04"/>
    <w:rsid w:val="6D082DFE"/>
    <w:rsid w:val="6D0D0199"/>
    <w:rsid w:val="6D6F570C"/>
    <w:rsid w:val="6D8912EF"/>
    <w:rsid w:val="6D8E1BA4"/>
    <w:rsid w:val="6D967C55"/>
    <w:rsid w:val="6DA2229E"/>
    <w:rsid w:val="6DA92861"/>
    <w:rsid w:val="6E1623E6"/>
    <w:rsid w:val="6E2234D2"/>
    <w:rsid w:val="6E761835"/>
    <w:rsid w:val="6E8E12EF"/>
    <w:rsid w:val="6EA35B4C"/>
    <w:rsid w:val="6EE75C87"/>
    <w:rsid w:val="6F484F7F"/>
    <w:rsid w:val="6F5F4624"/>
    <w:rsid w:val="6F8213F7"/>
    <w:rsid w:val="701F26D1"/>
    <w:rsid w:val="703E2723"/>
    <w:rsid w:val="705C33D8"/>
    <w:rsid w:val="70643A4D"/>
    <w:rsid w:val="707E0657"/>
    <w:rsid w:val="70825D3E"/>
    <w:rsid w:val="70872FC9"/>
    <w:rsid w:val="70B22AC5"/>
    <w:rsid w:val="70C501EC"/>
    <w:rsid w:val="70CF48B2"/>
    <w:rsid w:val="70E37E01"/>
    <w:rsid w:val="710650F2"/>
    <w:rsid w:val="711F61B4"/>
    <w:rsid w:val="713D0510"/>
    <w:rsid w:val="714C300F"/>
    <w:rsid w:val="71650B6A"/>
    <w:rsid w:val="71900E5F"/>
    <w:rsid w:val="71D43752"/>
    <w:rsid w:val="71DD4E54"/>
    <w:rsid w:val="72040C7E"/>
    <w:rsid w:val="72365CA8"/>
    <w:rsid w:val="724E4132"/>
    <w:rsid w:val="72563E57"/>
    <w:rsid w:val="72587BCF"/>
    <w:rsid w:val="725F6247"/>
    <w:rsid w:val="728069B8"/>
    <w:rsid w:val="7295497F"/>
    <w:rsid w:val="72AC7F1B"/>
    <w:rsid w:val="72CA73FB"/>
    <w:rsid w:val="72D27FF4"/>
    <w:rsid w:val="72D50740"/>
    <w:rsid w:val="732F4149"/>
    <w:rsid w:val="732F6F6B"/>
    <w:rsid w:val="734827F2"/>
    <w:rsid w:val="73840107"/>
    <w:rsid w:val="73972979"/>
    <w:rsid w:val="73A429A0"/>
    <w:rsid w:val="73E8523E"/>
    <w:rsid w:val="73F6630A"/>
    <w:rsid w:val="741E09A4"/>
    <w:rsid w:val="74512B28"/>
    <w:rsid w:val="74754184"/>
    <w:rsid w:val="74916155"/>
    <w:rsid w:val="7493567E"/>
    <w:rsid w:val="74936C9D"/>
    <w:rsid w:val="74944EBB"/>
    <w:rsid w:val="74961D9B"/>
    <w:rsid w:val="749C4185"/>
    <w:rsid w:val="74D62D6B"/>
    <w:rsid w:val="74D86AE9"/>
    <w:rsid w:val="74DA71DC"/>
    <w:rsid w:val="74DE553E"/>
    <w:rsid w:val="751B4EE4"/>
    <w:rsid w:val="75310219"/>
    <w:rsid w:val="75385A96"/>
    <w:rsid w:val="75BC659D"/>
    <w:rsid w:val="75C537CD"/>
    <w:rsid w:val="75D76B65"/>
    <w:rsid w:val="75DA2C18"/>
    <w:rsid w:val="75DC563D"/>
    <w:rsid w:val="76366A04"/>
    <w:rsid w:val="76443E88"/>
    <w:rsid w:val="76516E0F"/>
    <w:rsid w:val="76865C05"/>
    <w:rsid w:val="76A65B00"/>
    <w:rsid w:val="76B74F8C"/>
    <w:rsid w:val="76C06100"/>
    <w:rsid w:val="76FA4F64"/>
    <w:rsid w:val="771440AA"/>
    <w:rsid w:val="771F2A69"/>
    <w:rsid w:val="7725204A"/>
    <w:rsid w:val="77664B3C"/>
    <w:rsid w:val="77730402"/>
    <w:rsid w:val="77877F55"/>
    <w:rsid w:val="77954B48"/>
    <w:rsid w:val="77B47F8F"/>
    <w:rsid w:val="77B6499D"/>
    <w:rsid w:val="77E87FD9"/>
    <w:rsid w:val="77FC051C"/>
    <w:rsid w:val="788F1E71"/>
    <w:rsid w:val="791D43FD"/>
    <w:rsid w:val="79374646"/>
    <w:rsid w:val="79641288"/>
    <w:rsid w:val="7967694A"/>
    <w:rsid w:val="79807EA4"/>
    <w:rsid w:val="79894B12"/>
    <w:rsid w:val="79A77C1E"/>
    <w:rsid w:val="79B25E17"/>
    <w:rsid w:val="79C80F68"/>
    <w:rsid w:val="79D1653A"/>
    <w:rsid w:val="79D51B05"/>
    <w:rsid w:val="79FB4DB8"/>
    <w:rsid w:val="7A0A0CCF"/>
    <w:rsid w:val="7A1305A7"/>
    <w:rsid w:val="7A160F14"/>
    <w:rsid w:val="7A4334F8"/>
    <w:rsid w:val="7A67303B"/>
    <w:rsid w:val="7A697CCD"/>
    <w:rsid w:val="7A926E0C"/>
    <w:rsid w:val="7AAB1D04"/>
    <w:rsid w:val="7ABA4368"/>
    <w:rsid w:val="7B257FFD"/>
    <w:rsid w:val="7B4909FD"/>
    <w:rsid w:val="7B875081"/>
    <w:rsid w:val="7B8A5149"/>
    <w:rsid w:val="7B8A6F71"/>
    <w:rsid w:val="7B8B25F6"/>
    <w:rsid w:val="7BAB5214"/>
    <w:rsid w:val="7BF85F7F"/>
    <w:rsid w:val="7C120DEF"/>
    <w:rsid w:val="7C1C3A1B"/>
    <w:rsid w:val="7C636FEF"/>
    <w:rsid w:val="7C6D6D67"/>
    <w:rsid w:val="7C76400E"/>
    <w:rsid w:val="7C91271D"/>
    <w:rsid w:val="7CA560CB"/>
    <w:rsid w:val="7CF1353C"/>
    <w:rsid w:val="7D1E0263"/>
    <w:rsid w:val="7D262449"/>
    <w:rsid w:val="7D3F34EE"/>
    <w:rsid w:val="7D494CE4"/>
    <w:rsid w:val="7D553689"/>
    <w:rsid w:val="7D60202E"/>
    <w:rsid w:val="7D6E6A4F"/>
    <w:rsid w:val="7D856CA2"/>
    <w:rsid w:val="7D9D5AA3"/>
    <w:rsid w:val="7DB87774"/>
    <w:rsid w:val="7DDF5BD5"/>
    <w:rsid w:val="7DFA4B0F"/>
    <w:rsid w:val="7E087B80"/>
    <w:rsid w:val="7E2968C4"/>
    <w:rsid w:val="7E4A5F1A"/>
    <w:rsid w:val="7E5E656D"/>
    <w:rsid w:val="7E6127E1"/>
    <w:rsid w:val="7E7C7B76"/>
    <w:rsid w:val="7ECA3C03"/>
    <w:rsid w:val="7EE27547"/>
    <w:rsid w:val="7EF16460"/>
    <w:rsid w:val="7EF55D5F"/>
    <w:rsid w:val="7EF72849"/>
    <w:rsid w:val="7F2B6433"/>
    <w:rsid w:val="7F3845D5"/>
    <w:rsid w:val="7F397695"/>
    <w:rsid w:val="7F3D0E3E"/>
    <w:rsid w:val="7F447D8C"/>
    <w:rsid w:val="7F4A0830"/>
    <w:rsid w:val="7F5636E8"/>
    <w:rsid w:val="7F58120E"/>
    <w:rsid w:val="7F65392B"/>
    <w:rsid w:val="7F686F78"/>
    <w:rsid w:val="7F8A5140"/>
    <w:rsid w:val="7F8E155C"/>
    <w:rsid w:val="7FA63579"/>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4"/>
    <w:qFormat/>
    <w:uiPriority w:val="0"/>
    <w:pPr>
      <w:adjustRightInd/>
      <w:spacing w:line="360" w:lineRule="auto"/>
      <w:jc w:val="center"/>
      <w:outlineLvl w:val="0"/>
    </w:pPr>
    <w:rPr>
      <w:rFonts w:ascii="仿宋" w:hAnsi="仿宋" w:eastAsia="仿宋" w:cs="仿宋_GB2312"/>
      <w:b/>
      <w:color w:val="000000"/>
      <w:sz w:val="36"/>
      <w:szCs w:val="36"/>
    </w:rPr>
  </w:style>
  <w:style w:type="paragraph" w:styleId="5">
    <w:name w:val="heading 2"/>
    <w:basedOn w:val="1"/>
    <w:next w:val="1"/>
    <w:qFormat/>
    <w:uiPriority w:val="9"/>
    <w:pPr>
      <w:keepNext/>
      <w:keepLines/>
      <w:numPr>
        <w:ilvl w:val="0"/>
        <w:numId w:val="1"/>
      </w:numPr>
      <w:adjustRightInd/>
      <w:spacing w:line="360" w:lineRule="auto"/>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numPr>
        <w:ilvl w:val="2"/>
        <w:numId w:val="2"/>
      </w:numPr>
      <w:spacing w:before="260" w:after="260" w:line="416" w:lineRule="auto"/>
      <w:outlineLvl w:val="2"/>
    </w:pPr>
    <w:rPr>
      <w:b/>
      <w:bCs/>
      <w:sz w:val="32"/>
      <w:szCs w:val="32"/>
    </w:rPr>
  </w:style>
  <w:style w:type="paragraph" w:styleId="7">
    <w:name w:val="heading 4"/>
    <w:basedOn w:val="1"/>
    <w:next w:val="1"/>
    <w:link w:val="215"/>
    <w:qFormat/>
    <w:uiPriority w:val="0"/>
    <w:pPr>
      <w:keepNext/>
      <w:keepLines/>
      <w:numPr>
        <w:ilvl w:val="3"/>
        <w:numId w:val="2"/>
      </w:numPr>
      <w:spacing w:before="280" w:after="290" w:line="376" w:lineRule="auto"/>
      <w:outlineLvl w:val="3"/>
    </w:pPr>
    <w:rPr>
      <w:rFonts w:ascii="Arial" w:hAnsi="Arial" w:eastAsia="黑体"/>
      <w:b/>
      <w:bCs/>
      <w:sz w:val="28"/>
      <w:szCs w:val="28"/>
      <w:lang w:val="zh-CN"/>
    </w:rPr>
  </w:style>
  <w:style w:type="paragraph" w:styleId="8">
    <w:name w:val="heading 5"/>
    <w:basedOn w:val="1"/>
    <w:next w:val="1"/>
    <w:link w:val="178"/>
    <w:qFormat/>
    <w:uiPriority w:val="0"/>
    <w:pPr>
      <w:keepNext/>
      <w:keepLines/>
      <w:numPr>
        <w:ilvl w:val="4"/>
        <w:numId w:val="2"/>
      </w:numPr>
      <w:spacing w:before="280" w:after="290" w:line="376" w:lineRule="auto"/>
      <w:outlineLvl w:val="4"/>
    </w:pPr>
    <w:rPr>
      <w:b/>
      <w:bCs/>
      <w:sz w:val="28"/>
      <w:szCs w:val="28"/>
    </w:rPr>
  </w:style>
  <w:style w:type="paragraph" w:styleId="9">
    <w:name w:val="heading 6"/>
    <w:basedOn w:val="1"/>
    <w:next w:val="1"/>
    <w:link w:val="243"/>
    <w:qFormat/>
    <w:uiPriority w:val="0"/>
    <w:pPr>
      <w:keepNext/>
      <w:keepLines/>
      <w:numPr>
        <w:ilvl w:val="5"/>
        <w:numId w:val="2"/>
      </w:numPr>
      <w:spacing w:before="240" w:after="64" w:line="320" w:lineRule="auto"/>
      <w:outlineLvl w:val="5"/>
    </w:pPr>
    <w:rPr>
      <w:rFonts w:ascii="Arial" w:hAnsi="Arial" w:eastAsia="黑体"/>
      <w:b/>
      <w:bCs/>
      <w:sz w:val="24"/>
    </w:rPr>
  </w:style>
  <w:style w:type="paragraph" w:styleId="10">
    <w:name w:val="heading 7"/>
    <w:basedOn w:val="1"/>
    <w:next w:val="1"/>
    <w:link w:val="209"/>
    <w:qFormat/>
    <w:uiPriority w:val="0"/>
    <w:pPr>
      <w:keepNext/>
      <w:keepLines/>
      <w:numPr>
        <w:ilvl w:val="6"/>
        <w:numId w:val="2"/>
      </w:numPr>
      <w:spacing w:before="240" w:after="64" w:line="320" w:lineRule="auto"/>
      <w:outlineLvl w:val="6"/>
    </w:pPr>
    <w:rPr>
      <w:b/>
      <w:bCs/>
      <w:sz w:val="24"/>
    </w:rPr>
  </w:style>
  <w:style w:type="paragraph" w:styleId="11">
    <w:name w:val="heading 8"/>
    <w:basedOn w:val="1"/>
    <w:next w:val="1"/>
    <w:link w:val="114"/>
    <w:qFormat/>
    <w:uiPriority w:val="0"/>
    <w:pPr>
      <w:keepNext/>
      <w:keepLines/>
      <w:numPr>
        <w:ilvl w:val="7"/>
        <w:numId w:val="2"/>
      </w:numPr>
      <w:spacing w:before="240" w:after="64" w:line="320" w:lineRule="auto"/>
      <w:outlineLvl w:val="7"/>
    </w:pPr>
    <w:rPr>
      <w:rFonts w:ascii="Arial" w:hAnsi="Arial" w:eastAsia="黑体"/>
      <w:sz w:val="24"/>
    </w:rPr>
  </w:style>
  <w:style w:type="paragraph" w:styleId="12">
    <w:name w:val="heading 9"/>
    <w:basedOn w:val="1"/>
    <w:next w:val="1"/>
    <w:link w:val="127"/>
    <w:qFormat/>
    <w:uiPriority w:val="0"/>
    <w:pPr>
      <w:keepNext/>
      <w:keepLines/>
      <w:numPr>
        <w:ilvl w:val="8"/>
        <w:numId w:val="2"/>
      </w:numPr>
      <w:spacing w:before="240" w:after="64" w:line="320" w:lineRule="auto"/>
      <w:outlineLvl w:val="8"/>
    </w:pPr>
    <w:rPr>
      <w:rFonts w:ascii="Arial" w:hAnsi="Arial" w:eastAsia="黑体"/>
      <w:szCs w:val="21"/>
    </w:rPr>
  </w:style>
  <w:style w:type="character" w:default="1" w:styleId="63">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4"/>
    <w:qFormat/>
    <w:uiPriority w:val="0"/>
    <w:pPr>
      <w:autoSpaceDE w:val="0"/>
      <w:autoSpaceDN w:val="0"/>
      <w:spacing w:line="360" w:lineRule="auto"/>
    </w:pPr>
    <w:rPr>
      <w:rFonts w:ascii="宋体"/>
      <w:sz w:val="24"/>
      <w:szCs w:val="21"/>
      <w:lang w:val="zh-CN"/>
    </w:rPr>
  </w:style>
  <w:style w:type="paragraph" w:styleId="3">
    <w:name w:val="Body Text First Indent"/>
    <w:basedOn w:val="2"/>
    <w:next w:val="1"/>
    <w:link w:val="137"/>
    <w:qFormat/>
    <w:uiPriority w:val="0"/>
    <w:pPr>
      <w:ind w:firstLine="420"/>
    </w:pPr>
    <w:rPr>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next w:val="17"/>
    <w:qFormat/>
    <w:uiPriority w:val="0"/>
    <w:pPr>
      <w:widowControl/>
      <w:tabs>
        <w:tab w:val="left" w:pos="390"/>
        <w:tab w:val="left" w:pos="454"/>
      </w:tabs>
      <w:adjustRightInd/>
      <w:spacing w:afterLines="50"/>
      <w:ind w:left="454" w:hanging="284"/>
      <w:jc w:val="left"/>
    </w:pPr>
    <w:rPr>
      <w:kern w:val="0"/>
      <w:sz w:val="24"/>
      <w:szCs w:val="20"/>
    </w:rPr>
  </w:style>
  <w:style w:type="paragraph" w:customStyle="1" w:styleId="17">
    <w:name w:val="节标题"/>
    <w:basedOn w:val="1"/>
    <w:next w:val="1"/>
    <w:qFormat/>
    <w:uiPriority w:val="0"/>
    <w:pPr>
      <w:autoSpaceDE w:val="0"/>
      <w:autoSpaceDN w:val="0"/>
      <w:spacing w:line="289" w:lineRule="atLeast"/>
      <w:ind w:firstLine="200" w:firstLineChars="200"/>
      <w:jc w:val="center"/>
    </w:pPr>
    <w:rPr>
      <w:color w:val="000000"/>
      <w:kern w:val="0"/>
      <w:sz w:val="28"/>
      <w:szCs w:val="28"/>
    </w:rPr>
  </w:style>
  <w:style w:type="paragraph" w:styleId="18">
    <w:name w:val="Normal Indent"/>
    <w:basedOn w:val="1"/>
    <w:link w:val="245"/>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semiHidden/>
    <w:qFormat/>
    <w:uiPriority w:val="0"/>
    <w:pPr>
      <w:shd w:val="clear" w:color="auto" w:fill="000080"/>
    </w:pPr>
  </w:style>
  <w:style w:type="paragraph" w:styleId="22">
    <w:name w:val="annotation text"/>
    <w:basedOn w:val="1"/>
    <w:link w:val="249"/>
    <w:qFormat/>
    <w:uiPriority w:val="99"/>
    <w:pPr>
      <w:jc w:val="left"/>
    </w:pPr>
  </w:style>
  <w:style w:type="paragraph" w:styleId="23">
    <w:name w:val="Salutation"/>
    <w:basedOn w:val="1"/>
    <w:next w:val="1"/>
    <w:link w:val="214"/>
    <w:qFormat/>
    <w:uiPriority w:val="0"/>
    <w:rPr>
      <w:rFonts w:ascii="仿宋_GB2312" w:eastAsia="仿宋_GB2312"/>
      <w:sz w:val="28"/>
      <w:szCs w:val="20"/>
    </w:rPr>
  </w:style>
  <w:style w:type="paragraph" w:styleId="24">
    <w:name w:val="Body Text 3"/>
    <w:basedOn w:val="1"/>
    <w:link w:val="187"/>
    <w:qFormat/>
    <w:uiPriority w:val="0"/>
    <w:pPr>
      <w:jc w:val="center"/>
    </w:pPr>
    <w:rPr>
      <w:szCs w:val="20"/>
    </w:rPr>
  </w:style>
  <w:style w:type="paragraph" w:styleId="25">
    <w:name w:val="Body Text Indent"/>
    <w:basedOn w:val="1"/>
    <w:next w:val="1"/>
    <w:link w:val="105"/>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17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34"/>
    <w:link w:val="225"/>
    <w:qFormat/>
    <w:uiPriority w:val="0"/>
    <w:rPr>
      <w:rFonts w:ascii="宋体" w:hAnsi="Courier New"/>
      <w:szCs w:val="20"/>
    </w:rPr>
  </w:style>
  <w:style w:type="paragraph" w:styleId="34">
    <w:name w:val="Date"/>
    <w:basedOn w:val="1"/>
    <w:next w:val="1"/>
    <w:link w:val="212"/>
    <w:qFormat/>
    <w:uiPriority w:val="0"/>
    <w:pPr>
      <w:ind w:left="100" w:leftChars="2500"/>
    </w:pPr>
    <w:rPr>
      <w:rFonts w:ascii="宋体"/>
      <w:sz w:val="24"/>
      <w:szCs w:val="21"/>
      <w:lang w:val="zh-CN"/>
    </w:rPr>
  </w:style>
  <w:style w:type="paragraph" w:styleId="35">
    <w:name w:val="List Number 4"/>
    <w:basedOn w:val="1"/>
    <w:qFormat/>
    <w:uiPriority w:val="0"/>
    <w:pPr>
      <w:numPr>
        <w:ilvl w:val="0"/>
        <w:numId w:val="4"/>
      </w:numPr>
      <w:autoSpaceDE w:val="0"/>
      <w:autoSpaceDN w:val="0"/>
      <w:spacing w:line="360" w:lineRule="atLeast"/>
    </w:pPr>
    <w:rPr>
      <w:kern w:val="0"/>
      <w:sz w:val="24"/>
    </w:rPr>
  </w:style>
  <w:style w:type="paragraph" w:styleId="36">
    <w:name w:val="toc 8"/>
    <w:basedOn w:val="1"/>
    <w:next w:val="1"/>
    <w:qFormat/>
    <w:uiPriority w:val="0"/>
    <w:pPr>
      <w:ind w:left="2940" w:leftChars="1400"/>
    </w:pPr>
  </w:style>
  <w:style w:type="paragraph" w:styleId="37">
    <w:name w:val="Body Text Indent 2"/>
    <w:basedOn w:val="1"/>
    <w:link w:val="85"/>
    <w:qFormat/>
    <w:uiPriority w:val="0"/>
    <w:pPr>
      <w:spacing w:line="360" w:lineRule="auto"/>
      <w:ind w:firstLine="601"/>
      <w:textAlignment w:val="baseline"/>
    </w:pPr>
    <w:rPr>
      <w:rFonts w:ascii="宋体"/>
      <w:kern w:val="0"/>
      <w:sz w:val="28"/>
      <w:szCs w:val="20"/>
    </w:rPr>
  </w:style>
  <w:style w:type="paragraph" w:styleId="38">
    <w:name w:val="Balloon Text"/>
    <w:basedOn w:val="1"/>
    <w:link w:val="250"/>
    <w:semiHidden/>
    <w:qFormat/>
    <w:uiPriority w:val="0"/>
    <w:rPr>
      <w:sz w:val="18"/>
      <w:szCs w:val="18"/>
    </w:rPr>
  </w:style>
  <w:style w:type="paragraph" w:styleId="39">
    <w:name w:val="footer"/>
    <w:basedOn w:val="1"/>
    <w:link w:val="630"/>
    <w:qFormat/>
    <w:uiPriority w:val="99"/>
    <w:pPr>
      <w:tabs>
        <w:tab w:val="center" w:pos="4153"/>
        <w:tab w:val="right" w:pos="8306"/>
      </w:tabs>
      <w:snapToGrid w:val="0"/>
      <w:jc w:val="left"/>
    </w:pPr>
    <w:rPr>
      <w:sz w:val="18"/>
      <w:szCs w:val="18"/>
    </w:rPr>
  </w:style>
  <w:style w:type="paragraph" w:styleId="40">
    <w:name w:val="header"/>
    <w:basedOn w:val="1"/>
    <w:link w:val="631"/>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259"/>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0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8"/>
    <w:link w:val="239"/>
    <w:qFormat/>
    <w:uiPriority w:val="0"/>
    <w:pPr>
      <w:adjustRightInd/>
      <w:snapToGrid/>
      <w:spacing w:before="60" w:after="60" w:line="300" w:lineRule="exact"/>
      <w:ind w:firstLine="0"/>
    </w:pPr>
    <w:rPr>
      <w:rFonts w:ascii="Times New Roman"/>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196"/>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qFormat/>
    <w:uiPriority w:val="0"/>
    <w:pPr>
      <w:spacing w:after="120" w:line="480" w:lineRule="auto"/>
    </w:pPr>
  </w:style>
  <w:style w:type="paragraph" w:styleId="56">
    <w:name w:val="HTML Preformatted"/>
    <w:basedOn w:val="1"/>
    <w:link w:val="10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9">
    <w:name w:val="annotation subject"/>
    <w:basedOn w:val="22"/>
    <w:next w:val="22"/>
    <w:semiHidden/>
    <w:qFormat/>
    <w:uiPriority w:val="0"/>
    <w:rPr>
      <w:b/>
      <w:bCs/>
    </w:rPr>
  </w:style>
  <w:style w:type="paragraph" w:styleId="60">
    <w:name w:val="Body Text First Indent 2"/>
    <w:basedOn w:val="25"/>
    <w:link w:val="247"/>
    <w:qFormat/>
    <w:uiPriority w:val="0"/>
    <w:pPr>
      <w:adjustRightInd/>
      <w:spacing w:after="120" w:line="240" w:lineRule="auto"/>
      <w:ind w:left="420" w:leftChars="200" w:firstLine="210"/>
    </w:pPr>
    <w:rPr>
      <w:sz w:val="21"/>
    </w:rPr>
  </w:style>
  <w:style w:type="table" w:styleId="62">
    <w:name w:val="Table Grid"/>
    <w:basedOn w:val="6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4">
    <w:name w:val="Strong"/>
    <w:qFormat/>
    <w:uiPriority w:val="22"/>
    <w:rPr>
      <w:b/>
      <w:bCs/>
    </w:rPr>
  </w:style>
  <w:style w:type="character" w:styleId="65">
    <w:name w:val="page number"/>
    <w:basedOn w:val="63"/>
    <w:qFormat/>
    <w:uiPriority w:val="0"/>
    <w:rPr>
      <w:rFonts w:ascii="Arial" w:hAnsi="Arial" w:eastAsia="黑体" w:cs="Arial"/>
      <w:snapToGrid w:val="0"/>
      <w:kern w:val="0"/>
      <w:szCs w:val="21"/>
    </w:rPr>
  </w:style>
  <w:style w:type="character" w:styleId="66">
    <w:name w:val="FollowedHyperlink"/>
    <w:qFormat/>
    <w:uiPriority w:val="0"/>
    <w:rPr>
      <w:rFonts w:ascii="Arial" w:hAnsi="Arial" w:eastAsia="黑体" w:cs="Arial"/>
      <w:snapToGrid w:val="0"/>
      <w:color w:val="000000"/>
      <w:kern w:val="0"/>
      <w:sz w:val="18"/>
      <w:szCs w:val="18"/>
      <w:u w:val="none"/>
    </w:rPr>
  </w:style>
  <w:style w:type="character" w:styleId="67">
    <w:name w:val="Emphasis"/>
    <w:qFormat/>
    <w:uiPriority w:val="0"/>
    <w:rPr>
      <w:color w:val="CC0033"/>
    </w:rPr>
  </w:style>
  <w:style w:type="character" w:styleId="68">
    <w:name w:val="line number"/>
    <w:basedOn w:val="63"/>
    <w:qFormat/>
    <w:uiPriority w:val="0"/>
    <w:rPr>
      <w:rFonts w:ascii="Arial" w:hAnsi="Arial" w:eastAsia="黑体" w:cs="Arial"/>
      <w:snapToGrid w:val="0"/>
      <w:kern w:val="0"/>
      <w:szCs w:val="21"/>
    </w:rPr>
  </w:style>
  <w:style w:type="character" w:styleId="69">
    <w:name w:val="Hyperlink"/>
    <w:qFormat/>
    <w:uiPriority w:val="99"/>
    <w:rPr>
      <w:rFonts w:ascii="Arial" w:hAnsi="Arial" w:eastAsia="黑体" w:cs="Arial"/>
      <w:snapToGrid w:val="0"/>
      <w:color w:val="000000"/>
      <w:kern w:val="0"/>
      <w:sz w:val="18"/>
      <w:szCs w:val="18"/>
      <w:u w:val="none"/>
    </w:rPr>
  </w:style>
  <w:style w:type="character" w:styleId="70">
    <w:name w:val="HTML Code"/>
    <w:qFormat/>
    <w:uiPriority w:val="0"/>
    <w:rPr>
      <w:rFonts w:ascii="黑体" w:hAnsi="Courier New" w:eastAsia="黑体" w:cs="楷体_GB2312"/>
      <w:sz w:val="20"/>
      <w:szCs w:val="20"/>
    </w:rPr>
  </w:style>
  <w:style w:type="character" w:styleId="71">
    <w:name w:val="annotation reference"/>
    <w:qFormat/>
    <w:uiPriority w:val="99"/>
    <w:rPr>
      <w:sz w:val="21"/>
      <w:szCs w:val="21"/>
    </w:rPr>
  </w:style>
  <w:style w:type="paragraph" w:customStyle="1" w:styleId="72">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styleId="73">
    <w:name w:val="List Paragraph"/>
    <w:basedOn w:val="1"/>
    <w:qFormat/>
    <w:uiPriority w:val="34"/>
    <w:pPr>
      <w:spacing w:line="360" w:lineRule="auto"/>
      <w:ind w:firstLine="200" w:firstLineChars="200"/>
    </w:pPr>
    <w:rPr>
      <w:rFonts w:eastAsia="楷体_GB2312" w:cs="Lucida Sans"/>
      <w:sz w:val="24"/>
    </w:rPr>
  </w:style>
  <w:style w:type="character" w:customStyle="1" w:styleId="74">
    <w:name w:val="标题 1 Char"/>
    <w:link w:val="4"/>
    <w:qFormat/>
    <w:uiPriority w:val="0"/>
    <w:rPr>
      <w:rFonts w:ascii="仿宋" w:hAnsi="仿宋" w:eastAsia="仿宋" w:cs="仿宋_GB2312"/>
      <w:b/>
      <w:color w:val="000000"/>
      <w:kern w:val="2"/>
      <w:sz w:val="36"/>
      <w:szCs w:val="36"/>
    </w:rPr>
  </w:style>
  <w:style w:type="character" w:customStyle="1" w:styleId="75">
    <w:name w:val="标题 2 Char"/>
    <w:qFormat/>
    <w:uiPriority w:val="0"/>
    <w:rPr>
      <w:rFonts w:ascii="Arial" w:hAnsi="Arial" w:eastAsia="黑体"/>
      <w:b/>
      <w:kern w:val="2"/>
      <w:sz w:val="32"/>
      <w:lang w:val="en-US" w:eastAsia="zh-CN"/>
    </w:rPr>
  </w:style>
  <w:style w:type="character" w:customStyle="1" w:styleId="76">
    <w:name w:val="solutionfonts"/>
    <w:qFormat/>
    <w:uiPriority w:val="0"/>
  </w:style>
  <w:style w:type="character" w:customStyle="1" w:styleId="77">
    <w:name w:val="Font Style82"/>
    <w:qFormat/>
    <w:uiPriority w:val="99"/>
    <w:rPr>
      <w:rFonts w:ascii="宋体" w:eastAsia="宋体" w:cs="宋体"/>
      <w:color w:val="000000"/>
      <w:sz w:val="14"/>
      <w:szCs w:val="14"/>
    </w:rPr>
  </w:style>
  <w:style w:type="character" w:customStyle="1" w:styleId="78">
    <w:name w:val="此正文 Char"/>
    <w:link w:val="79"/>
    <w:qFormat/>
    <w:uiPriority w:val="0"/>
    <w:rPr>
      <w:kern w:val="2"/>
      <w:sz w:val="24"/>
      <w:szCs w:val="24"/>
    </w:rPr>
  </w:style>
  <w:style w:type="paragraph" w:customStyle="1" w:styleId="79">
    <w:name w:val="此正文"/>
    <w:basedOn w:val="1"/>
    <w:link w:val="78"/>
    <w:qFormat/>
    <w:uiPriority w:val="0"/>
    <w:pPr>
      <w:adjustRightInd/>
      <w:spacing w:line="360" w:lineRule="auto"/>
      <w:ind w:firstLine="200" w:firstLineChars="200"/>
    </w:pPr>
    <w:rPr>
      <w:sz w:val="24"/>
    </w:rPr>
  </w:style>
  <w:style w:type="character" w:customStyle="1" w:styleId="80">
    <w:name w:val="Char Char10"/>
    <w:semiHidden/>
    <w:qFormat/>
    <w:uiPriority w:val="0"/>
    <w:rPr>
      <w:rFonts w:ascii="宋体" w:hAnsi="宋体"/>
      <w:kern w:val="2"/>
      <w:sz w:val="21"/>
      <w:szCs w:val="24"/>
      <w:lang w:val="en-US" w:eastAsia="zh-CN"/>
    </w:rPr>
  </w:style>
  <w:style w:type="character" w:customStyle="1" w:styleId="81">
    <w:name w:val="h Char Char"/>
    <w:qFormat/>
    <w:uiPriority w:val="0"/>
    <w:rPr>
      <w:rFonts w:eastAsia="宋体"/>
      <w:kern w:val="2"/>
      <w:sz w:val="18"/>
      <w:lang w:val="en-US" w:eastAsia="zh-CN" w:bidi="ar-SA"/>
    </w:rPr>
  </w:style>
  <w:style w:type="character" w:customStyle="1" w:styleId="82">
    <w:name w:val="Bold"/>
    <w:qFormat/>
    <w:uiPriority w:val="0"/>
    <w:rPr>
      <w:rFonts w:ascii="Arial" w:hAnsi="Arial" w:eastAsia="黑体" w:cs="Times New Roman"/>
      <w:b/>
      <w:kern w:val="2"/>
      <w:sz w:val="32"/>
      <w:szCs w:val="32"/>
      <w:lang w:val="en-US" w:eastAsia="zh-CN" w:bidi="ar-SA"/>
    </w:rPr>
  </w:style>
  <w:style w:type="character" w:customStyle="1" w:styleId="83">
    <w:name w:val="Ò³Ã¼ Char Char"/>
    <w:qFormat/>
    <w:uiPriority w:val="0"/>
    <w:rPr>
      <w:rFonts w:eastAsia="宋体"/>
      <w:kern w:val="2"/>
      <w:sz w:val="18"/>
      <w:lang w:val="en-US" w:eastAsia="zh-CN" w:bidi="ar-SA"/>
    </w:rPr>
  </w:style>
  <w:style w:type="character" w:customStyle="1" w:styleId="84">
    <w:name w:val="标准正文格式 Char"/>
    <w:qFormat/>
    <w:uiPriority w:val="0"/>
    <w:rPr>
      <w:rFonts w:ascii="宋体" w:eastAsia="仿宋_GB2312" w:cs="宋体"/>
      <w:color w:val="000000"/>
      <w:sz w:val="24"/>
      <w:lang w:val="en-US" w:eastAsia="zh-CN" w:bidi="ar-SA"/>
    </w:rPr>
  </w:style>
  <w:style w:type="character" w:customStyle="1" w:styleId="85">
    <w:name w:val="正文文本缩进 2 Char"/>
    <w:link w:val="37"/>
    <w:qFormat/>
    <w:uiPriority w:val="0"/>
    <w:rPr>
      <w:rFonts w:ascii="宋体"/>
      <w:sz w:val="28"/>
    </w:rPr>
  </w:style>
  <w:style w:type="character" w:customStyle="1" w:styleId="86">
    <w:name w:val="Char Char8"/>
    <w:qFormat/>
    <w:uiPriority w:val="0"/>
    <w:rPr>
      <w:rFonts w:eastAsia="宋体"/>
      <w:b/>
      <w:sz w:val="24"/>
      <w:lang w:val="en-GB" w:eastAsia="zh-CN"/>
    </w:rPr>
  </w:style>
  <w:style w:type="character" w:customStyle="1" w:styleId="87">
    <w:name w:val="No Spacing Char"/>
    <w:link w:val="88"/>
    <w:qFormat/>
    <w:uiPriority w:val="1"/>
    <w:rPr>
      <w:rFonts w:ascii="Calibri" w:hAnsi="Calibri"/>
      <w:sz w:val="22"/>
      <w:szCs w:val="22"/>
      <w:lang w:val="en-US" w:eastAsia="zh-CN" w:bidi="ar-SA"/>
    </w:rPr>
  </w:style>
  <w:style w:type="paragraph" w:customStyle="1" w:styleId="88">
    <w:name w:val="无间隔1"/>
    <w:link w:val="87"/>
    <w:qFormat/>
    <w:uiPriority w:val="1"/>
    <w:rPr>
      <w:rFonts w:ascii="Calibri" w:hAnsi="Calibri" w:eastAsia="宋体" w:cs="Times New Roman"/>
      <w:sz w:val="22"/>
      <w:szCs w:val="22"/>
      <w:lang w:val="en-US" w:eastAsia="zh-CN" w:bidi="ar-SA"/>
    </w:rPr>
  </w:style>
  <w:style w:type="character" w:customStyle="1" w:styleId="89">
    <w:name w:val="blue1"/>
    <w:basedOn w:val="63"/>
    <w:qFormat/>
    <w:uiPriority w:val="0"/>
    <w:rPr>
      <w:rFonts w:ascii="Arial" w:hAnsi="Arial" w:eastAsia="黑体" w:cs="Arial"/>
      <w:snapToGrid w:val="0"/>
      <w:kern w:val="0"/>
      <w:szCs w:val="21"/>
    </w:rPr>
  </w:style>
  <w:style w:type="character" w:customStyle="1" w:styleId="90">
    <w:name w:val="highlight1"/>
    <w:qFormat/>
    <w:uiPriority w:val="0"/>
    <w:rPr>
      <w:rFonts w:ascii="仿宋_GB2312" w:eastAsia="微软雅黑"/>
      <w:b/>
      <w:kern w:val="2"/>
      <w:sz w:val="23"/>
      <w:szCs w:val="23"/>
      <w:lang w:val="en-US" w:eastAsia="zh-CN" w:bidi="ar-SA"/>
    </w:rPr>
  </w:style>
  <w:style w:type="character" w:customStyle="1" w:styleId="91">
    <w:name w:val="ca-131"/>
    <w:qFormat/>
    <w:uiPriority w:val="0"/>
    <w:rPr>
      <w:rFonts w:hint="eastAsia" w:ascii="仿宋_GB2312" w:eastAsia="仿宋_GB2312"/>
      <w:b/>
      <w:bCs/>
      <w:color w:val="000000"/>
      <w:spacing w:val="-20"/>
      <w:sz w:val="24"/>
      <w:szCs w:val="24"/>
    </w:rPr>
  </w:style>
  <w:style w:type="character" w:customStyle="1" w:styleId="92">
    <w:name w:val="h3 Char"/>
    <w:qFormat/>
    <w:uiPriority w:val="0"/>
    <w:rPr>
      <w:rFonts w:eastAsia="宋体"/>
      <w:b/>
      <w:kern w:val="2"/>
      <w:sz w:val="32"/>
      <w:lang w:val="en-US" w:eastAsia="zh-CN" w:bidi="ar-SA"/>
    </w:rPr>
  </w:style>
  <w:style w:type="character" w:customStyle="1" w:styleId="93">
    <w:name w:val="Char Char12"/>
    <w:qFormat/>
    <w:uiPriority w:val="0"/>
    <w:rPr>
      <w:rFonts w:ascii="仿宋_GB2312" w:eastAsia="仿宋_GB2312"/>
      <w:b/>
      <w:bCs/>
      <w:kern w:val="2"/>
      <w:sz w:val="24"/>
      <w:szCs w:val="24"/>
      <w:lang w:val="zh-CN" w:eastAsia="zh-CN" w:bidi="ar-SA"/>
    </w:rPr>
  </w:style>
  <w:style w:type="character" w:customStyle="1" w:styleId="94">
    <w:name w:val="Comment Text Char"/>
    <w:semiHidden/>
    <w:qFormat/>
    <w:locked/>
    <w:uiPriority w:val="0"/>
    <w:rPr>
      <w:rFonts w:ascii="宋体" w:hAnsi="宋体" w:eastAsia="宋体"/>
      <w:kern w:val="2"/>
      <w:sz w:val="24"/>
      <w:lang w:val="en-US" w:eastAsia="zh-CN" w:bidi="ar-SA"/>
    </w:rPr>
  </w:style>
  <w:style w:type="character" w:customStyle="1" w:styleId="95">
    <w:name w:val="批注文字 Char"/>
    <w:qFormat/>
    <w:uiPriority w:val="99"/>
    <w:rPr>
      <w:kern w:val="2"/>
      <w:sz w:val="21"/>
      <w:szCs w:val="24"/>
    </w:rPr>
  </w:style>
  <w:style w:type="character" w:customStyle="1" w:styleId="96">
    <w:name w:val="仿宋正文 Char"/>
    <w:link w:val="97"/>
    <w:qFormat/>
    <w:uiPriority w:val="0"/>
    <w:rPr>
      <w:rFonts w:ascii="仿宋_GB2312" w:eastAsia="仿宋_GB2312"/>
      <w:kern w:val="2"/>
      <w:sz w:val="24"/>
      <w:lang w:val="en-US" w:eastAsia="zh-CN" w:bidi="ar-SA"/>
    </w:rPr>
  </w:style>
  <w:style w:type="paragraph" w:customStyle="1" w:styleId="97">
    <w:name w:val="仿宋正文"/>
    <w:basedOn w:val="1"/>
    <w:link w:val="96"/>
    <w:qFormat/>
    <w:uiPriority w:val="0"/>
    <w:pPr>
      <w:adjustRightInd/>
      <w:spacing w:line="360" w:lineRule="auto"/>
      <w:ind w:firstLine="480" w:firstLineChars="200"/>
    </w:pPr>
    <w:rPr>
      <w:rFonts w:ascii="仿宋_GB2312" w:eastAsia="仿宋_GB2312"/>
      <w:sz w:val="24"/>
      <w:szCs w:val="20"/>
    </w:rPr>
  </w:style>
  <w:style w:type="character" w:customStyle="1" w:styleId="98">
    <w:name w:val="style91"/>
    <w:qFormat/>
    <w:uiPriority w:val="0"/>
    <w:rPr>
      <w:color w:val="333333"/>
    </w:rPr>
  </w:style>
  <w:style w:type="character" w:customStyle="1" w:styleId="99">
    <w:name w:val="Char Char4"/>
    <w:qFormat/>
    <w:uiPriority w:val="0"/>
    <w:rPr>
      <w:rFonts w:eastAsia="宋体"/>
      <w:b/>
      <w:sz w:val="24"/>
      <w:lang w:val="en-GB" w:eastAsia="zh-CN" w:bidi="ar-SA"/>
    </w:rPr>
  </w:style>
  <w:style w:type="character" w:customStyle="1" w:styleId="100">
    <w:name w:val="Char Char2"/>
    <w:qFormat/>
    <w:uiPriority w:val="0"/>
    <w:rPr>
      <w:rFonts w:eastAsia="宋体"/>
      <w:b/>
      <w:bCs/>
      <w:kern w:val="2"/>
      <w:sz w:val="21"/>
      <w:szCs w:val="24"/>
      <w:lang w:val="en-US" w:eastAsia="zh-CN" w:bidi="ar-SA"/>
    </w:rPr>
  </w:style>
  <w:style w:type="character" w:customStyle="1" w:styleId="101">
    <w:name w:val="正文 项目2 Char"/>
    <w:basedOn w:val="102"/>
    <w:qFormat/>
    <w:uiPriority w:val="0"/>
    <w:rPr>
      <w:rFonts w:ascii="仿宋_GB2312" w:hAnsi="仿宋_GB2312" w:eastAsia="仿宋_GB2312"/>
      <w:kern w:val="2"/>
      <w:sz w:val="24"/>
      <w:lang w:bidi="ar-SA"/>
    </w:rPr>
  </w:style>
  <w:style w:type="character" w:customStyle="1" w:styleId="102">
    <w:name w:val="正文 项目 Char"/>
    <w:qFormat/>
    <w:uiPriority w:val="0"/>
    <w:rPr>
      <w:rFonts w:ascii="仿宋_GB2312" w:hAnsi="仿宋_GB2312" w:eastAsia="仿宋_GB2312"/>
      <w:kern w:val="2"/>
      <w:sz w:val="24"/>
      <w:lang w:bidi="ar-SA"/>
    </w:rPr>
  </w:style>
  <w:style w:type="character" w:customStyle="1" w:styleId="103">
    <w:name w:val="页眉 Char1"/>
    <w:qFormat/>
    <w:uiPriority w:val="0"/>
    <w:rPr>
      <w:rFonts w:eastAsia="宋体"/>
      <w:kern w:val="2"/>
      <w:sz w:val="18"/>
      <w:szCs w:val="18"/>
      <w:lang w:val="en-US" w:eastAsia="zh-CN" w:bidi="ar-SA"/>
    </w:rPr>
  </w:style>
  <w:style w:type="character" w:customStyle="1" w:styleId="104">
    <w:name w:val="副标题 Char"/>
    <w:link w:val="46"/>
    <w:qFormat/>
    <w:uiPriority w:val="0"/>
    <w:rPr>
      <w:rFonts w:ascii="Arial" w:hAnsi="Arial" w:eastAsia="隶书"/>
      <w:b/>
      <w:bCs/>
      <w:kern w:val="28"/>
      <w:sz w:val="44"/>
      <w:szCs w:val="32"/>
      <w:lang w:val="en-US" w:eastAsia="zh-CN" w:bidi="ar-SA"/>
    </w:rPr>
  </w:style>
  <w:style w:type="character" w:customStyle="1" w:styleId="105">
    <w:name w:val="正文文本缩进 Char1"/>
    <w:link w:val="25"/>
    <w:qFormat/>
    <w:uiPriority w:val="0"/>
    <w:rPr>
      <w:rFonts w:ascii="宋体" w:hAnsi="宋体"/>
      <w:kern w:val="2"/>
      <w:sz w:val="24"/>
      <w:szCs w:val="24"/>
    </w:rPr>
  </w:style>
  <w:style w:type="character" w:customStyle="1" w:styleId="106">
    <w:name w:val="big1"/>
    <w:qFormat/>
    <w:uiPriority w:val="0"/>
    <w:rPr>
      <w:rFonts w:hint="eastAsia" w:ascii="宋体" w:hAnsi="宋体" w:eastAsia="宋体"/>
      <w:color w:val="333333"/>
      <w:sz w:val="22"/>
      <w:szCs w:val="22"/>
    </w:rPr>
  </w:style>
  <w:style w:type="character" w:customStyle="1" w:styleId="107">
    <w:name w:val="h Char Char1"/>
    <w:qFormat/>
    <w:uiPriority w:val="0"/>
    <w:rPr>
      <w:rFonts w:eastAsia="宋体"/>
      <w:kern w:val="2"/>
      <w:sz w:val="18"/>
      <w:szCs w:val="18"/>
      <w:lang w:val="en-US" w:eastAsia="zh-CN" w:bidi="ar-SA"/>
    </w:rPr>
  </w:style>
  <w:style w:type="character" w:customStyle="1" w:styleId="108">
    <w:name w:val="样式8 Char"/>
    <w:qFormat/>
    <w:uiPriority w:val="0"/>
    <w:rPr>
      <w:rFonts w:ascii="仿宋_GB2312" w:hAnsi="宋体" w:eastAsia="仿宋_GB2312"/>
      <w:b/>
      <w:bCs/>
      <w:kern w:val="2"/>
      <w:sz w:val="24"/>
      <w:szCs w:val="24"/>
    </w:rPr>
  </w:style>
  <w:style w:type="character" w:customStyle="1" w:styleId="109">
    <w:name w:val="HTML 预设格式 Char"/>
    <w:link w:val="56"/>
    <w:qFormat/>
    <w:uiPriority w:val="0"/>
    <w:rPr>
      <w:rFonts w:ascii="黑体" w:hAnsi="Courier New" w:eastAsia="黑体"/>
    </w:rPr>
  </w:style>
  <w:style w:type="character" w:customStyle="1" w:styleId="110">
    <w:name w:val="页脚 Char1"/>
    <w:qFormat/>
    <w:uiPriority w:val="0"/>
    <w:rPr>
      <w:rFonts w:eastAsia="宋体"/>
      <w:kern w:val="2"/>
      <w:sz w:val="18"/>
      <w:szCs w:val="18"/>
      <w:lang w:val="en-US" w:eastAsia="zh-CN" w:bidi="ar-SA"/>
    </w:rPr>
  </w:style>
  <w:style w:type="character" w:customStyle="1" w:styleId="111">
    <w:name w:val="myp11"/>
    <w:qFormat/>
    <w:uiPriority w:val="0"/>
    <w:rPr>
      <w:rFonts w:ascii="仿宋_GB2312" w:eastAsia="微软雅黑"/>
      <w:b/>
      <w:kern w:val="2"/>
      <w:sz w:val="32"/>
      <w:szCs w:val="32"/>
      <w:lang w:val="en-US" w:eastAsia="zh-CN" w:bidi="ar-SA"/>
    </w:rPr>
  </w:style>
  <w:style w:type="character" w:customStyle="1" w:styleId="112">
    <w:name w:val="正文文本 2 Char"/>
    <w:qFormat/>
    <w:uiPriority w:val="0"/>
    <w:rPr>
      <w:rFonts w:eastAsia="宋体"/>
      <w:kern w:val="2"/>
      <w:sz w:val="21"/>
      <w:szCs w:val="24"/>
      <w:lang w:val="en-US" w:eastAsia="zh-CN" w:bidi="ar-SA"/>
    </w:rPr>
  </w:style>
  <w:style w:type="character" w:customStyle="1" w:styleId="113">
    <w:name w:val="tw4winTerm"/>
    <w:qFormat/>
    <w:uiPriority w:val="0"/>
    <w:rPr>
      <w:color w:val="0000FF"/>
    </w:rPr>
  </w:style>
  <w:style w:type="character" w:customStyle="1" w:styleId="114">
    <w:name w:val="标题 8 Char"/>
    <w:link w:val="11"/>
    <w:qFormat/>
    <w:uiPriority w:val="0"/>
    <w:rPr>
      <w:rFonts w:ascii="Arial" w:hAnsi="Arial" w:eastAsia="黑体"/>
      <w:kern w:val="2"/>
      <w:sz w:val="24"/>
      <w:szCs w:val="24"/>
    </w:rPr>
  </w:style>
  <w:style w:type="character" w:customStyle="1" w:styleId="115">
    <w:name w:val="标题 2 Char Char"/>
    <w:qFormat/>
    <w:uiPriority w:val="0"/>
    <w:rPr>
      <w:rFonts w:ascii="楷体_GB2312" w:hAnsi="Arial" w:eastAsia="楷体_GB2312"/>
      <w:b/>
      <w:bCs/>
      <w:kern w:val="2"/>
      <w:sz w:val="24"/>
      <w:szCs w:val="32"/>
      <w:lang w:val="en-US" w:eastAsia="zh-CN" w:bidi="ar-SA"/>
    </w:rPr>
  </w:style>
  <w:style w:type="character" w:customStyle="1" w:styleId="116">
    <w:name w:val="hei16b1"/>
    <w:qFormat/>
    <w:uiPriority w:val="0"/>
    <w:rPr>
      <w:rFonts w:hint="default" w:ascii="Arial" w:hAnsi="Arial" w:cs="Arial"/>
      <w:b/>
      <w:bCs/>
      <w:color w:val="000000"/>
      <w:sz w:val="24"/>
      <w:szCs w:val="24"/>
    </w:rPr>
  </w:style>
  <w:style w:type="character" w:customStyle="1" w:styleId="117">
    <w:name w:val="Heading 7 Char"/>
    <w:qFormat/>
    <w:locked/>
    <w:uiPriority w:val="0"/>
    <w:rPr>
      <w:rFonts w:ascii="宋体" w:hAnsi="宋体" w:eastAsia="宋体"/>
      <w:b/>
      <w:bCs/>
      <w:kern w:val="2"/>
      <w:sz w:val="24"/>
      <w:szCs w:val="24"/>
      <w:lang w:val="en-US" w:eastAsia="zh-CN" w:bidi="ar-SA"/>
    </w:rPr>
  </w:style>
  <w:style w:type="character" w:customStyle="1" w:styleId="118">
    <w:name w:val="Char Char6"/>
    <w:qFormat/>
    <w:uiPriority w:val="0"/>
    <w:rPr>
      <w:rFonts w:eastAsia="宋体"/>
      <w:kern w:val="2"/>
      <w:sz w:val="21"/>
      <w:szCs w:val="24"/>
      <w:lang w:val="en-US" w:eastAsia="zh-CN" w:bidi="ar-SA"/>
    </w:rPr>
  </w:style>
  <w:style w:type="character" w:customStyle="1" w:styleId="119">
    <w:name w:val="哈哈正文 Char"/>
    <w:link w:val="120"/>
    <w:qFormat/>
    <w:uiPriority w:val="0"/>
    <w:rPr>
      <w:rFonts w:ascii="宋体" w:hAnsi="宋体" w:eastAsia="宋体"/>
      <w:kern w:val="2"/>
      <w:sz w:val="24"/>
      <w:lang w:bidi="ar-SA"/>
    </w:rPr>
  </w:style>
  <w:style w:type="paragraph" w:customStyle="1" w:styleId="120">
    <w:name w:val="哈哈正文"/>
    <w:basedOn w:val="1"/>
    <w:link w:val="119"/>
    <w:qFormat/>
    <w:uiPriority w:val="0"/>
    <w:pPr>
      <w:adjustRightInd/>
      <w:spacing w:line="360" w:lineRule="auto"/>
      <w:ind w:firstLine="200" w:firstLineChars="200"/>
    </w:pPr>
    <w:rPr>
      <w:rFonts w:ascii="宋体" w:hAnsi="宋体"/>
      <w:sz w:val="24"/>
      <w:szCs w:val="20"/>
    </w:rPr>
  </w:style>
  <w:style w:type="character" w:customStyle="1" w:styleId="121">
    <w:name w:val="pt141"/>
    <w:qFormat/>
    <w:uiPriority w:val="0"/>
    <w:rPr>
      <w:color w:val="330066"/>
      <w:sz w:val="22"/>
      <w:szCs w:val="22"/>
    </w:rPr>
  </w:style>
  <w:style w:type="character" w:customStyle="1" w:styleId="122">
    <w:name w:val="普通文字 Char3"/>
    <w:qFormat/>
    <w:uiPriority w:val="0"/>
    <w:rPr>
      <w:rFonts w:ascii="宋体" w:hAnsi="Courier New" w:eastAsia="宋体"/>
      <w:kern w:val="2"/>
      <w:sz w:val="21"/>
      <w:lang w:val="en-US" w:eastAsia="zh-CN" w:bidi="ar-SA"/>
    </w:rPr>
  </w:style>
  <w:style w:type="character" w:customStyle="1" w:styleId="123">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24">
    <w:name w:val="正文文本 Char1"/>
    <w:link w:val="2"/>
    <w:semiHidden/>
    <w:qFormat/>
    <w:uiPriority w:val="0"/>
    <w:rPr>
      <w:rFonts w:ascii="宋体" w:hAnsi="Arial" w:eastAsia="宋体" w:cs="Arial"/>
      <w:snapToGrid w:val="0"/>
      <w:kern w:val="2"/>
      <w:sz w:val="24"/>
      <w:szCs w:val="21"/>
      <w:lang w:val="zh-CN" w:eastAsia="zh-CN" w:bidi="ar-SA"/>
    </w:rPr>
  </w:style>
  <w:style w:type="character" w:customStyle="1" w:styleId="125">
    <w:name w:val="正文2 Char"/>
    <w:qFormat/>
    <w:uiPriority w:val="0"/>
    <w:rPr>
      <w:rFonts w:eastAsia="宋体"/>
      <w:kern w:val="2"/>
      <w:sz w:val="24"/>
      <w:lang w:val="en-US" w:eastAsia="zh-CN" w:bidi="ar-SA"/>
    </w:rPr>
  </w:style>
  <w:style w:type="character" w:customStyle="1" w:styleId="126">
    <w:name w:val="普通文字 Char1"/>
    <w:qFormat/>
    <w:uiPriority w:val="0"/>
    <w:rPr>
      <w:rFonts w:ascii="宋体" w:hAnsi="Courier New" w:eastAsia="宋体"/>
      <w:kern w:val="2"/>
      <w:sz w:val="21"/>
      <w:lang w:val="en-US" w:eastAsia="zh-CN"/>
    </w:rPr>
  </w:style>
  <w:style w:type="character" w:customStyle="1" w:styleId="127">
    <w:name w:val="标题 9 Char"/>
    <w:link w:val="12"/>
    <w:qFormat/>
    <w:uiPriority w:val="0"/>
    <w:rPr>
      <w:rFonts w:ascii="Arial" w:hAnsi="Arial" w:eastAsia="黑体"/>
      <w:kern w:val="2"/>
      <w:sz w:val="21"/>
      <w:szCs w:val="21"/>
    </w:rPr>
  </w:style>
  <w:style w:type="character" w:customStyle="1" w:styleId="128">
    <w:name w:val="Header Char"/>
    <w:semiHidden/>
    <w:qFormat/>
    <w:locked/>
    <w:uiPriority w:val="0"/>
    <w:rPr>
      <w:rFonts w:eastAsia="宋体"/>
      <w:kern w:val="2"/>
      <w:sz w:val="18"/>
      <w:szCs w:val="18"/>
      <w:lang w:val="en-US" w:eastAsia="zh-CN" w:bidi="ar-SA"/>
    </w:rPr>
  </w:style>
  <w:style w:type="character" w:customStyle="1" w:styleId="129">
    <w:name w:val="Footer-Even Char1"/>
    <w:qFormat/>
    <w:uiPriority w:val="0"/>
    <w:rPr>
      <w:rFonts w:eastAsia="宋体"/>
      <w:kern w:val="2"/>
      <w:sz w:val="18"/>
      <w:szCs w:val="18"/>
      <w:lang w:val="en-US" w:eastAsia="zh-CN" w:bidi="ar-SA"/>
    </w:rPr>
  </w:style>
  <w:style w:type="character" w:customStyle="1" w:styleId="130">
    <w:name w:val="unnamed31"/>
    <w:qFormat/>
    <w:uiPriority w:val="0"/>
    <w:rPr>
      <w:rFonts w:ascii="Tahoma" w:hAnsi="Tahoma" w:eastAsia="宋体"/>
      <w:b/>
      <w:kern w:val="2"/>
      <w:sz w:val="24"/>
      <w:szCs w:val="32"/>
      <w:u w:val="none"/>
      <w:lang w:val="en-US" w:eastAsia="zh-CN" w:bidi="ar-SA"/>
    </w:rPr>
  </w:style>
  <w:style w:type="character" w:customStyle="1" w:styleId="131">
    <w:name w:val="纯文本 Char Char Char"/>
    <w:qFormat/>
    <w:uiPriority w:val="0"/>
    <w:rPr>
      <w:rFonts w:ascii="宋体" w:hAnsi="Courier New" w:eastAsia="宋体"/>
      <w:kern w:val="2"/>
      <w:sz w:val="21"/>
      <w:lang w:val="en-US" w:eastAsia="zh-CN" w:bidi="ar-SA"/>
    </w:rPr>
  </w:style>
  <w:style w:type="character" w:customStyle="1" w:styleId="132">
    <w:name w:val="Body Text(ch) Char Char"/>
    <w:qFormat/>
    <w:uiPriority w:val="0"/>
    <w:rPr>
      <w:rFonts w:ascii="宋体"/>
      <w:kern w:val="2"/>
      <w:sz w:val="24"/>
      <w:szCs w:val="21"/>
      <w:lang w:val="zh-CN"/>
    </w:rPr>
  </w:style>
  <w:style w:type="character" w:customStyle="1" w:styleId="133">
    <w:name w:val="插图说明 Char"/>
    <w:qFormat/>
    <w:uiPriority w:val="0"/>
    <w:rPr>
      <w:rFonts w:eastAsia="黑体"/>
      <w:sz w:val="24"/>
      <w:lang w:val="en-US" w:eastAsia="zh-CN"/>
    </w:rPr>
  </w:style>
  <w:style w:type="character" w:customStyle="1" w:styleId="134">
    <w:name w:val="tw4winExternal"/>
    <w:qFormat/>
    <w:uiPriority w:val="0"/>
    <w:rPr>
      <w:rFonts w:ascii="Courier New" w:hAnsi="Courier New" w:cs="Courier New"/>
      <w:color w:val="808080"/>
      <w:lang w:val="en-US" w:eastAsia="zh-CN"/>
    </w:rPr>
  </w:style>
  <w:style w:type="character" w:customStyle="1" w:styleId="135">
    <w:name w:val="font21"/>
    <w:qFormat/>
    <w:uiPriority w:val="0"/>
    <w:rPr>
      <w:rFonts w:hint="eastAsia" w:ascii="宋体" w:hAnsi="宋体" w:eastAsia="宋体"/>
      <w:kern w:val="2"/>
      <w:sz w:val="28"/>
      <w:szCs w:val="28"/>
      <w:lang w:val="en-US" w:eastAsia="zh-CN" w:bidi="ar-SA"/>
    </w:rPr>
  </w:style>
  <w:style w:type="character" w:customStyle="1" w:styleId="136">
    <w:name w:val="标书正文格式 Char"/>
    <w:qFormat/>
    <w:uiPriority w:val="0"/>
    <w:rPr>
      <w:rFonts w:eastAsia="楷体_GB2312"/>
      <w:kern w:val="2"/>
      <w:sz w:val="24"/>
      <w:szCs w:val="24"/>
      <w:lang w:bidi="ar-SA"/>
    </w:rPr>
  </w:style>
  <w:style w:type="character" w:customStyle="1" w:styleId="137">
    <w:name w:val="正文首行缩进 Char"/>
    <w:link w:val="3"/>
    <w:qFormat/>
    <w:uiPriority w:val="0"/>
    <w:rPr>
      <w:rFonts w:ascii="宋体"/>
      <w:kern w:val="2"/>
      <w:sz w:val="24"/>
      <w:lang w:val="zh-CN"/>
    </w:rPr>
  </w:style>
  <w:style w:type="character" w:customStyle="1" w:styleId="138">
    <w:name w:val="javascript"/>
    <w:qFormat/>
    <w:uiPriority w:val="0"/>
  </w:style>
  <w:style w:type="character" w:customStyle="1" w:styleId="139">
    <w:name w:val="Balloon Text Char"/>
    <w:semiHidden/>
    <w:qFormat/>
    <w:locked/>
    <w:uiPriority w:val="0"/>
    <w:rPr>
      <w:rFonts w:eastAsia="宋体"/>
      <w:kern w:val="2"/>
      <w:sz w:val="18"/>
      <w:szCs w:val="18"/>
      <w:lang w:val="en-US" w:eastAsia="zh-CN" w:bidi="ar-SA"/>
    </w:rPr>
  </w:style>
  <w:style w:type="character" w:customStyle="1" w:styleId="140">
    <w:name w:val="Char Char5"/>
    <w:qFormat/>
    <w:uiPriority w:val="0"/>
    <w:rPr>
      <w:rFonts w:ascii="宋体" w:hAnsi="Courier New" w:eastAsia="宋体"/>
      <w:kern w:val="2"/>
      <w:sz w:val="21"/>
      <w:lang w:val="en-US" w:eastAsia="zh-CN"/>
    </w:rPr>
  </w:style>
  <w:style w:type="character" w:customStyle="1" w:styleId="141">
    <w:name w:val="Char Char"/>
    <w:qFormat/>
    <w:uiPriority w:val="0"/>
    <w:rPr>
      <w:rFonts w:ascii="宋体" w:hAnsi="Courier New" w:eastAsia="宋体"/>
      <w:kern w:val="2"/>
      <w:sz w:val="21"/>
      <w:lang w:val="en-US" w:eastAsia="zh-CN" w:bidi="ar-SA"/>
    </w:rPr>
  </w:style>
  <w:style w:type="character" w:customStyle="1" w:styleId="142">
    <w:name w:val="mdeck"/>
    <w:qFormat/>
    <w:uiPriority w:val="0"/>
    <w:rPr>
      <w:rFonts w:ascii="仿宋_GB2312" w:eastAsia="微软雅黑"/>
      <w:b/>
      <w:kern w:val="2"/>
      <w:sz w:val="32"/>
      <w:szCs w:val="32"/>
      <w:lang w:val="en-US" w:eastAsia="zh-CN" w:bidi="ar-SA"/>
    </w:rPr>
  </w:style>
  <w:style w:type="character" w:customStyle="1" w:styleId="143">
    <w:name w:val="content"/>
    <w:qFormat/>
    <w:uiPriority w:val="0"/>
  </w:style>
  <w:style w:type="character" w:customStyle="1" w:styleId="144">
    <w:name w:val="Char Char3"/>
    <w:qFormat/>
    <w:uiPriority w:val="0"/>
    <w:rPr>
      <w:rFonts w:eastAsia="宋体"/>
      <w:kern w:val="2"/>
      <w:sz w:val="21"/>
      <w:szCs w:val="24"/>
      <w:lang w:val="en-US" w:eastAsia="zh-CN" w:bidi="ar-SA"/>
    </w:rPr>
  </w:style>
  <w:style w:type="character" w:customStyle="1" w:styleId="145">
    <w:name w:val="Char Char81"/>
    <w:qFormat/>
    <w:uiPriority w:val="6"/>
    <w:rPr>
      <w:rFonts w:eastAsia="宋体"/>
      <w:b/>
      <w:sz w:val="24"/>
      <w:lang w:val="en-GB" w:eastAsia="zh-CN"/>
    </w:rPr>
  </w:style>
  <w:style w:type="character" w:customStyle="1" w:styleId="146">
    <w:name w:val="页眉 Char"/>
    <w:qFormat/>
    <w:uiPriority w:val="99"/>
    <w:rPr>
      <w:rFonts w:eastAsia="仿宋_GB2312"/>
      <w:kern w:val="2"/>
      <w:sz w:val="18"/>
      <w:lang w:val="en-US" w:eastAsia="zh-CN"/>
    </w:rPr>
  </w:style>
  <w:style w:type="character" w:customStyle="1" w:styleId="147">
    <w:name w:val="b11_01b Char"/>
    <w:link w:val="148"/>
    <w:qFormat/>
    <w:uiPriority w:val="0"/>
    <w:rPr>
      <w:rFonts w:ascii="Verdana" w:hAnsi="Verdana"/>
      <w:b/>
      <w:bCs/>
      <w:color w:val="4A82CA"/>
      <w:sz w:val="17"/>
      <w:szCs w:val="17"/>
    </w:rPr>
  </w:style>
  <w:style w:type="paragraph" w:customStyle="1" w:styleId="148">
    <w:name w:val="b11_01b"/>
    <w:basedOn w:val="1"/>
    <w:next w:val="1"/>
    <w:link w:val="14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149">
    <w:name w:val="标题4-dyf Char"/>
    <w:link w:val="150"/>
    <w:qFormat/>
    <w:uiPriority w:val="0"/>
    <w:rPr>
      <w:rFonts w:ascii="Cambria" w:hAnsi="Cambria"/>
      <w:b/>
      <w:bCs/>
      <w:color w:val="000000"/>
      <w:kern w:val="2"/>
      <w:sz w:val="21"/>
      <w:szCs w:val="21"/>
    </w:rPr>
  </w:style>
  <w:style w:type="paragraph" w:customStyle="1" w:styleId="150">
    <w:name w:val="标题4-dyf"/>
    <w:basedOn w:val="7"/>
    <w:link w:val="149"/>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151">
    <w:name w:val="批注主题 Char"/>
    <w:qFormat/>
    <w:uiPriority w:val="0"/>
    <w:rPr>
      <w:rFonts w:eastAsia="宋体"/>
      <w:b/>
      <w:bCs/>
      <w:kern w:val="2"/>
      <w:sz w:val="21"/>
      <w:szCs w:val="24"/>
      <w:lang w:val="en-US" w:eastAsia="zh-CN" w:bidi="ar-SA"/>
    </w:rPr>
  </w:style>
  <w:style w:type="character" w:customStyle="1" w:styleId="15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53">
    <w:name w:val="标题 3 Char2"/>
    <w:qFormat/>
    <w:uiPriority w:val="0"/>
    <w:rPr>
      <w:rFonts w:eastAsia="宋体"/>
      <w:b/>
      <w:bCs/>
      <w:kern w:val="2"/>
      <w:sz w:val="32"/>
      <w:szCs w:val="32"/>
      <w:lang w:val="en-US" w:eastAsia="zh-CN" w:bidi="ar-SA"/>
    </w:rPr>
  </w:style>
  <w:style w:type="character" w:customStyle="1" w:styleId="154">
    <w:name w:val="gray6"/>
    <w:basedOn w:val="63"/>
    <w:qFormat/>
    <w:uiPriority w:val="0"/>
    <w:rPr>
      <w:rFonts w:ascii="Arial" w:hAnsi="Arial" w:eastAsia="黑体" w:cs="Arial"/>
      <w:snapToGrid w:val="0"/>
      <w:kern w:val="0"/>
      <w:szCs w:val="21"/>
    </w:rPr>
  </w:style>
  <w:style w:type="character" w:customStyle="1" w:styleId="155">
    <w:name w:val="正文首行缩进两字 Char"/>
    <w:qFormat/>
    <w:uiPriority w:val="0"/>
    <w:rPr>
      <w:sz w:val="24"/>
      <w:szCs w:val="24"/>
      <w:lang w:val="en-US" w:eastAsia="zh-CN" w:bidi="ar-SA"/>
    </w:rPr>
  </w:style>
  <w:style w:type="character" w:customStyle="1" w:styleId="156">
    <w:name w:val="Char Char51"/>
    <w:qFormat/>
    <w:uiPriority w:val="0"/>
    <w:rPr>
      <w:rFonts w:ascii="宋体" w:hAnsi="Courier New" w:eastAsia="宋体"/>
      <w:kern w:val="2"/>
      <w:sz w:val="21"/>
      <w:lang w:val="en-US" w:eastAsia="zh-CN"/>
    </w:rPr>
  </w:style>
  <w:style w:type="character" w:customStyle="1" w:styleId="157">
    <w:name w:val="带编号样式 Char"/>
    <w:qFormat/>
    <w:uiPriority w:val="0"/>
    <w:rPr>
      <w:rFonts w:ascii="仿宋_GB2312" w:eastAsia="仿宋_GB2312"/>
      <w:color w:val="000000"/>
      <w:sz w:val="24"/>
      <w:lang w:bidi="ar-SA"/>
    </w:rPr>
  </w:style>
  <w:style w:type="character" w:customStyle="1" w:styleId="158">
    <w:name w:val="Footer-Even Char"/>
    <w:qFormat/>
    <w:uiPriority w:val="0"/>
    <w:rPr>
      <w:rFonts w:eastAsia="宋体"/>
      <w:kern w:val="2"/>
      <w:sz w:val="18"/>
      <w:lang w:val="en-US" w:eastAsia="zh-CN" w:bidi="ar-SA"/>
    </w:rPr>
  </w:style>
  <w:style w:type="character" w:customStyle="1" w:styleId="159">
    <w:name w:val="样式4 Char"/>
    <w:qFormat/>
    <w:uiPriority w:val="0"/>
    <w:rPr>
      <w:rFonts w:ascii="仿宋_GB2312" w:hAnsi="仿宋" w:eastAsia="仿宋_GB2312"/>
      <w:b/>
      <w:kern w:val="2"/>
      <w:sz w:val="32"/>
      <w:szCs w:val="32"/>
      <w:lang w:bidi="ar-SA"/>
    </w:rPr>
  </w:style>
  <w:style w:type="character" w:customStyle="1" w:styleId="160">
    <w:name w:val="样式 标题 4h4H4Fab-4T5Ref Heading 1rh1Heading sqlsect 1.2.3.... Char"/>
    <w:link w:val="161"/>
    <w:qFormat/>
    <w:uiPriority w:val="0"/>
    <w:rPr>
      <w:rFonts w:ascii="微软雅黑" w:hAnsi="微软雅黑" w:eastAsia="微软雅黑"/>
      <w:b/>
      <w:bCs/>
      <w:kern w:val="2"/>
      <w:sz w:val="24"/>
      <w:szCs w:val="28"/>
    </w:rPr>
  </w:style>
  <w:style w:type="paragraph" w:customStyle="1" w:styleId="161">
    <w:name w:val="样式 标题 4h4H4Fab-4T5Ref Heading 1rh1Heading sqlsect 1.2.3...."/>
    <w:basedOn w:val="7"/>
    <w:link w:val="160"/>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sz w:val="24"/>
    </w:rPr>
  </w:style>
  <w:style w:type="character" w:customStyle="1" w:styleId="162">
    <w:name w:val="dandyren_title1"/>
    <w:qFormat/>
    <w:uiPriority w:val="0"/>
    <w:rPr>
      <w:b/>
      <w:bCs/>
      <w:color w:val="FF6633"/>
      <w:sz w:val="18"/>
      <w:szCs w:val="18"/>
    </w:rPr>
  </w:style>
  <w:style w:type="character" w:customStyle="1" w:styleId="163">
    <w:name w:val="普通文字 Char Char1"/>
    <w:qFormat/>
    <w:uiPriority w:val="0"/>
    <w:rPr>
      <w:rFonts w:ascii="宋体" w:hAnsi="Courier New"/>
      <w:kern w:val="2"/>
      <w:sz w:val="21"/>
    </w:rPr>
  </w:style>
  <w:style w:type="character" w:customStyle="1" w:styleId="164">
    <w:name w:val="PI Char"/>
    <w:qFormat/>
    <w:uiPriority w:val="0"/>
    <w:rPr>
      <w:rFonts w:ascii="宋体" w:hAnsi="宋体" w:eastAsia="宋体"/>
      <w:kern w:val="2"/>
      <w:sz w:val="24"/>
      <w:szCs w:val="24"/>
      <w:lang w:val="en-US" w:eastAsia="zh-CN" w:bidi="ar-SA"/>
    </w:rPr>
  </w:style>
  <w:style w:type="character" w:customStyle="1" w:styleId="165">
    <w:name w:val="Char Char11"/>
    <w:qFormat/>
    <w:locked/>
    <w:uiPriority w:val="0"/>
    <w:rPr>
      <w:rFonts w:ascii="宋体" w:hAnsi="宋体" w:eastAsia="宋体"/>
      <w:b/>
      <w:kern w:val="2"/>
      <w:sz w:val="24"/>
      <w:szCs w:val="24"/>
      <w:lang w:val="en-US" w:eastAsia="zh-CN" w:bidi="ar-SA"/>
    </w:rPr>
  </w:style>
  <w:style w:type="character" w:customStyle="1" w:styleId="16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67">
    <w:name w:val="Document Map Char"/>
    <w:semiHidden/>
    <w:qFormat/>
    <w:locked/>
    <w:uiPriority w:val="0"/>
    <w:rPr>
      <w:rFonts w:eastAsia="宋体"/>
      <w:kern w:val="2"/>
      <w:sz w:val="21"/>
      <w:szCs w:val="24"/>
      <w:lang w:val="en-US" w:eastAsia="zh-CN" w:bidi="ar-SA"/>
    </w:rPr>
  </w:style>
  <w:style w:type="character" w:customStyle="1" w:styleId="168">
    <w:name w:val="正文文本缩进 Char"/>
    <w:qFormat/>
    <w:uiPriority w:val="0"/>
    <w:rPr>
      <w:rFonts w:ascii="宋体" w:hAnsi="宋体"/>
      <w:kern w:val="2"/>
      <w:sz w:val="24"/>
      <w:szCs w:val="24"/>
    </w:rPr>
  </w:style>
  <w:style w:type="character" w:customStyle="1" w:styleId="169">
    <w:name w:val="文本正文 Char Char"/>
    <w:qFormat/>
    <w:locked/>
    <w:uiPriority w:val="0"/>
    <w:rPr>
      <w:sz w:val="24"/>
      <w:lang w:bidi="ar-SA"/>
    </w:rPr>
  </w:style>
  <w:style w:type="character" w:customStyle="1" w:styleId="170">
    <w:name w:val="样式7 Char"/>
    <w:qFormat/>
    <w:uiPriority w:val="0"/>
    <w:rPr>
      <w:rFonts w:ascii="仿宋_GB2312" w:hAnsi="仿宋" w:eastAsia="仿宋_GB2312"/>
      <w:b/>
      <w:kern w:val="2"/>
      <w:sz w:val="24"/>
      <w:szCs w:val="24"/>
    </w:rPr>
  </w:style>
  <w:style w:type="character" w:customStyle="1" w:styleId="171">
    <w:name w:val="样式3 Char"/>
    <w:basedOn w:val="172"/>
    <w:qFormat/>
    <w:uiPriority w:val="0"/>
    <w:rPr>
      <w:rFonts w:ascii="仿宋_GB2312" w:hAnsi="仿宋" w:eastAsia="仿宋_GB2312" w:cs="仿宋_GB2312"/>
      <w:sz w:val="32"/>
      <w:szCs w:val="30"/>
      <w:lang w:val="zh-CN"/>
    </w:rPr>
  </w:style>
  <w:style w:type="character" w:customStyle="1" w:styleId="172">
    <w:name w:val="样式2 Char"/>
    <w:qFormat/>
    <w:uiPriority w:val="0"/>
    <w:rPr>
      <w:rFonts w:ascii="仿宋_GB2312" w:hAnsi="仿宋" w:eastAsia="仿宋_GB2312" w:cs="仿宋_GB2312"/>
      <w:b/>
      <w:bCs/>
      <w:sz w:val="32"/>
      <w:szCs w:val="30"/>
      <w:lang w:val="zh-CN"/>
    </w:rPr>
  </w:style>
  <w:style w:type="character" w:customStyle="1" w:styleId="173">
    <w:name w:val="二级标题 Char Char"/>
    <w:qFormat/>
    <w:uiPriority w:val="0"/>
    <w:rPr>
      <w:rFonts w:ascii="宋体" w:hAnsi="宋体" w:eastAsia="宋体"/>
      <w:b/>
      <w:snapToGrid w:val="0"/>
      <w:kern w:val="2"/>
      <w:sz w:val="24"/>
      <w:szCs w:val="24"/>
      <w:lang w:val="en-US" w:eastAsia="zh-CN" w:bidi="ar-SA"/>
    </w:rPr>
  </w:style>
  <w:style w:type="character" w:customStyle="1" w:styleId="174">
    <w:name w:val="Table Text Char1"/>
    <w:qFormat/>
    <w:uiPriority w:val="0"/>
    <w:rPr>
      <w:rFonts w:eastAsia="宋体"/>
      <w:sz w:val="24"/>
      <w:szCs w:val="24"/>
      <w:lang w:val="en-US" w:eastAsia="zh-CN" w:bidi="ar-SA"/>
    </w:rPr>
  </w:style>
  <w:style w:type="character" w:customStyle="1" w:styleId="175">
    <w:name w:val="shadow11"/>
    <w:qFormat/>
    <w:uiPriority w:val="0"/>
    <w:rPr>
      <w:color w:val="000000"/>
      <w:sz w:val="21"/>
    </w:rPr>
  </w:style>
  <w:style w:type="character" w:customStyle="1" w:styleId="176">
    <w:name w:val="HTML 地址 Char"/>
    <w:link w:val="30"/>
    <w:qFormat/>
    <w:uiPriority w:val="0"/>
    <w:rPr>
      <w:rFonts w:ascii="宋体" w:hAnsi="宋体"/>
      <w:i/>
      <w:iCs/>
      <w:sz w:val="24"/>
      <w:szCs w:val="24"/>
    </w:rPr>
  </w:style>
  <w:style w:type="character" w:customStyle="1" w:styleId="177">
    <w:name w:val="Char Char21"/>
    <w:qFormat/>
    <w:uiPriority w:val="0"/>
    <w:rPr>
      <w:rFonts w:eastAsia="宋体"/>
      <w:b/>
      <w:bCs/>
      <w:kern w:val="2"/>
      <w:sz w:val="21"/>
      <w:szCs w:val="24"/>
      <w:lang w:val="en-US" w:eastAsia="zh-CN" w:bidi="ar-SA"/>
    </w:rPr>
  </w:style>
  <w:style w:type="character" w:customStyle="1" w:styleId="178">
    <w:name w:val="标题 5 Char"/>
    <w:link w:val="8"/>
    <w:qFormat/>
    <w:uiPriority w:val="0"/>
    <w:rPr>
      <w:b/>
      <w:bCs/>
      <w:kern w:val="2"/>
      <w:sz w:val="28"/>
      <w:szCs w:val="28"/>
    </w:rPr>
  </w:style>
  <w:style w:type="character" w:customStyle="1" w:styleId="179">
    <w:name w:val="h3 Char1"/>
    <w:qFormat/>
    <w:uiPriority w:val="0"/>
    <w:rPr>
      <w:rFonts w:eastAsia="宋体"/>
      <w:b/>
      <w:bCs/>
      <w:kern w:val="2"/>
      <w:sz w:val="32"/>
      <w:szCs w:val="32"/>
      <w:lang w:bidi="ar-SA"/>
    </w:rPr>
  </w:style>
  <w:style w:type="character" w:customStyle="1" w:styleId="180">
    <w:name w:val="FA正文 Char Char"/>
    <w:qFormat/>
    <w:uiPriority w:val="0"/>
    <w:rPr>
      <w:rFonts w:hAnsi="宋体"/>
      <w:kern w:val="2"/>
      <w:sz w:val="24"/>
      <w:lang w:bidi="ar-SA"/>
    </w:rPr>
  </w:style>
  <w:style w:type="character" w:customStyle="1" w:styleId="181">
    <w:name w:val="首行缩进 Char"/>
    <w:qFormat/>
    <w:uiPriority w:val="0"/>
    <w:rPr>
      <w:rFonts w:ascii="宋体" w:eastAsia="宋体"/>
      <w:kern w:val="2"/>
      <w:sz w:val="24"/>
      <w:lang w:val="en-US" w:eastAsia="zh-CN" w:bidi="ar-SA"/>
    </w:rPr>
  </w:style>
  <w:style w:type="character" w:customStyle="1" w:styleId="182">
    <w:name w:val="Char Char7"/>
    <w:semiHidden/>
    <w:qFormat/>
    <w:uiPriority w:val="0"/>
    <w:rPr>
      <w:rFonts w:eastAsia="宋体"/>
      <w:kern w:val="2"/>
      <w:sz w:val="21"/>
      <w:szCs w:val="24"/>
      <w:lang w:val="en-US" w:eastAsia="zh-CN" w:bidi="ar-SA"/>
    </w:rPr>
  </w:style>
  <w:style w:type="character" w:customStyle="1" w:styleId="183">
    <w:name w:val="hui"/>
    <w:basedOn w:val="63"/>
    <w:qFormat/>
    <w:uiPriority w:val="0"/>
    <w:rPr>
      <w:rFonts w:ascii="Arial" w:hAnsi="Arial" w:eastAsia="黑体" w:cs="Arial"/>
      <w:snapToGrid w:val="0"/>
      <w:kern w:val="0"/>
      <w:szCs w:val="21"/>
    </w:rPr>
  </w:style>
  <w:style w:type="character" w:customStyle="1" w:styleId="184">
    <w:name w:val="正文缩进 Char"/>
    <w:qFormat/>
    <w:uiPriority w:val="0"/>
    <w:rPr>
      <w:rFonts w:eastAsia="宋体"/>
      <w:kern w:val="2"/>
      <w:sz w:val="21"/>
      <w:lang w:val="en-US" w:eastAsia="zh-CN"/>
    </w:rPr>
  </w:style>
  <w:style w:type="character" w:customStyle="1" w:styleId="185">
    <w:name w:val="正文1 Char"/>
    <w:qFormat/>
    <w:uiPriority w:val="0"/>
    <w:rPr>
      <w:rFonts w:ascii="宋体" w:eastAsia="宋体"/>
      <w:snapToGrid w:val="0"/>
      <w:color w:val="000000"/>
      <w:kern w:val="28"/>
      <w:sz w:val="28"/>
      <w:lang w:val="en-US" w:eastAsia="zh-CN" w:bidi="ar-SA"/>
    </w:rPr>
  </w:style>
  <w:style w:type="character" w:customStyle="1" w:styleId="186">
    <w:name w:val="Char Char61"/>
    <w:qFormat/>
    <w:uiPriority w:val="0"/>
    <w:rPr>
      <w:rFonts w:eastAsia="宋体"/>
      <w:kern w:val="2"/>
      <w:sz w:val="21"/>
      <w:szCs w:val="24"/>
      <w:lang w:val="en-US" w:eastAsia="zh-CN" w:bidi="ar-SA"/>
    </w:rPr>
  </w:style>
  <w:style w:type="character" w:customStyle="1" w:styleId="187">
    <w:name w:val="正文文本 3 Char"/>
    <w:link w:val="24"/>
    <w:qFormat/>
    <w:uiPriority w:val="0"/>
    <w:rPr>
      <w:kern w:val="2"/>
      <w:sz w:val="21"/>
    </w:rPr>
  </w:style>
  <w:style w:type="character" w:customStyle="1" w:styleId="188">
    <w:name w:val="message1"/>
    <w:qFormat/>
    <w:uiPriority w:val="0"/>
    <w:rPr>
      <w:rFonts w:hint="default" w:ascii="Tahoma" w:hAnsi="Tahoma" w:cs="Tahoma"/>
      <w:sz w:val="18"/>
      <w:szCs w:val="18"/>
    </w:rPr>
  </w:style>
  <w:style w:type="character" w:customStyle="1" w:styleId="189">
    <w:name w:val="Heading 2 Hidden Char"/>
    <w:qFormat/>
    <w:uiPriority w:val="0"/>
    <w:rPr>
      <w:rFonts w:ascii="仿宋_GB2312" w:eastAsia="仿宋_GB2312"/>
      <w:b/>
      <w:bCs/>
      <w:kern w:val="2"/>
      <w:sz w:val="24"/>
      <w:szCs w:val="24"/>
      <w:lang w:val="zh-CN" w:eastAsia="zh-CN" w:bidi="ar-SA"/>
    </w:rPr>
  </w:style>
  <w:style w:type="character" w:customStyle="1" w:styleId="190">
    <w:name w:val="DO_NOT_TRANSLATE"/>
    <w:qFormat/>
    <w:uiPriority w:val="0"/>
    <w:rPr>
      <w:rFonts w:ascii="Courier New" w:hAnsi="Courier New" w:cs="Courier New"/>
      <w:color w:val="800000"/>
      <w:lang w:val="en-US" w:eastAsia="zh-CN"/>
    </w:rPr>
  </w:style>
  <w:style w:type="character" w:customStyle="1" w:styleId="191">
    <w:name w:val="unnamed11"/>
    <w:qFormat/>
    <w:uiPriority w:val="0"/>
    <w:rPr>
      <w:sz w:val="20"/>
      <w:szCs w:val="20"/>
    </w:rPr>
  </w:style>
  <w:style w:type="character" w:customStyle="1" w:styleId="192">
    <w:name w:val="tw4winInternal"/>
    <w:qFormat/>
    <w:uiPriority w:val="0"/>
    <w:rPr>
      <w:rFonts w:ascii="Courier New" w:hAnsi="Courier New" w:cs="Courier New"/>
      <w:color w:val="FF0000"/>
      <w:lang w:val="en-US" w:eastAsia="zh-CN"/>
    </w:rPr>
  </w:style>
  <w:style w:type="character" w:customStyle="1" w:styleId="193">
    <w:name w:val="正文（缩进2汉字） Char"/>
    <w:link w:val="194"/>
    <w:qFormat/>
    <w:uiPriority w:val="0"/>
    <w:rPr>
      <w:rFonts w:ascii="宋体"/>
    </w:rPr>
  </w:style>
  <w:style w:type="paragraph" w:customStyle="1" w:styleId="194">
    <w:name w:val="正文（缩进2汉字）"/>
    <w:basedOn w:val="1"/>
    <w:link w:val="19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95">
    <w:name w:val="页脚 Char"/>
    <w:qFormat/>
    <w:uiPriority w:val="99"/>
    <w:rPr>
      <w:rFonts w:eastAsia="仿宋_GB2312"/>
      <w:kern w:val="2"/>
      <w:sz w:val="18"/>
      <w:lang w:val="en-US" w:eastAsia="zh-CN"/>
    </w:rPr>
  </w:style>
  <w:style w:type="character" w:customStyle="1" w:styleId="196">
    <w:name w:val="正文文本缩进 3 Char"/>
    <w:link w:val="52"/>
    <w:qFormat/>
    <w:uiPriority w:val="0"/>
    <w:rPr>
      <w:kern w:val="2"/>
      <w:sz w:val="24"/>
    </w:rPr>
  </w:style>
  <w:style w:type="character" w:customStyle="1" w:styleId="197">
    <w:name w:val="正文缩进 Char1"/>
    <w:qFormat/>
    <w:uiPriority w:val="0"/>
    <w:rPr>
      <w:rFonts w:ascii="宋体" w:eastAsia="宋体"/>
      <w:snapToGrid w:val="0"/>
      <w:color w:val="000000"/>
      <w:kern w:val="28"/>
      <w:sz w:val="28"/>
      <w:lang w:val="en-US" w:eastAsia="zh-CN" w:bidi="ar-SA"/>
    </w:rPr>
  </w:style>
  <w:style w:type="character" w:customStyle="1" w:styleId="198">
    <w:name w:val="正文文本 Char"/>
    <w:qFormat/>
    <w:uiPriority w:val="0"/>
    <w:rPr>
      <w:rFonts w:eastAsia="宋体"/>
      <w:kern w:val="2"/>
      <w:sz w:val="24"/>
      <w:szCs w:val="24"/>
      <w:lang w:val="en-US" w:eastAsia="zh-CN" w:bidi="ar-SA"/>
    </w:rPr>
  </w:style>
  <w:style w:type="character" w:customStyle="1" w:styleId="199">
    <w:name w:val="style36"/>
    <w:basedOn w:val="63"/>
    <w:qFormat/>
    <w:uiPriority w:val="0"/>
    <w:rPr>
      <w:rFonts w:ascii="Arial" w:hAnsi="Arial" w:eastAsia="黑体" w:cs="Arial"/>
      <w:snapToGrid w:val="0"/>
      <w:kern w:val="0"/>
      <w:szCs w:val="21"/>
    </w:rPr>
  </w:style>
  <w:style w:type="character" w:customStyle="1" w:styleId="200">
    <w:name w:val="hui3"/>
    <w:qFormat/>
    <w:uiPriority w:val="0"/>
    <w:rPr>
      <w:color w:val="333333"/>
    </w:rPr>
  </w:style>
  <w:style w:type="character" w:customStyle="1" w:styleId="201">
    <w:name w:val="方案正文 Char"/>
    <w:qFormat/>
    <w:uiPriority w:val="0"/>
    <w:rPr>
      <w:rFonts w:ascii="仿宋_GB2312" w:eastAsia="仿宋_GB2312"/>
      <w:b/>
      <w:color w:val="000000"/>
      <w:kern w:val="2"/>
      <w:sz w:val="24"/>
      <w:lang w:val="en-US" w:eastAsia="zh-CN" w:bidi="ar-SA"/>
    </w:rPr>
  </w:style>
  <w:style w:type="character" w:customStyle="1" w:styleId="202">
    <w:name w:val="apple-converted-space"/>
    <w:qFormat/>
    <w:uiPriority w:val="0"/>
  </w:style>
  <w:style w:type="character" w:customStyle="1" w:styleId="203">
    <w:name w:val="文档结构图 Char"/>
    <w:qFormat/>
    <w:uiPriority w:val="0"/>
    <w:rPr>
      <w:rFonts w:eastAsia="宋体"/>
      <w:kern w:val="2"/>
      <w:sz w:val="21"/>
      <w:szCs w:val="24"/>
      <w:lang w:val="en-US" w:eastAsia="zh-CN" w:bidi="ar-SA"/>
    </w:rPr>
  </w:style>
  <w:style w:type="character" w:customStyle="1" w:styleId="204">
    <w:name w:val="正文非缩进 Char3"/>
    <w:qFormat/>
    <w:uiPriority w:val="0"/>
    <w:rPr>
      <w:rFonts w:ascii="宋体" w:eastAsia="宋体"/>
      <w:snapToGrid w:val="0"/>
      <w:color w:val="000000"/>
      <w:kern w:val="28"/>
      <w:sz w:val="28"/>
      <w:lang w:val="en-US" w:eastAsia="zh-CN" w:bidi="ar-SA"/>
    </w:rPr>
  </w:style>
  <w:style w:type="character" w:customStyle="1" w:styleId="205">
    <w:name w:val="dectext1"/>
    <w:qFormat/>
    <w:uiPriority w:val="0"/>
    <w:rPr>
      <w:rFonts w:ascii="宋体" w:hAnsi="宋体" w:eastAsia="宋体"/>
      <w:color w:val="333333"/>
      <w:sz w:val="21"/>
      <w:szCs w:val="21"/>
      <w:u w:val="none"/>
    </w:rPr>
  </w:style>
  <w:style w:type="character" w:customStyle="1" w:styleId="206">
    <w:name w:val="t21"/>
    <w:qFormat/>
    <w:uiPriority w:val="0"/>
    <w:rPr>
      <w:rFonts w:ascii="仿宋_GB2312" w:eastAsia="微软雅黑"/>
      <w:b/>
      <w:kern w:val="2"/>
      <w:sz w:val="23"/>
      <w:szCs w:val="23"/>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px14"/>
    <w:qFormat/>
    <w:uiPriority w:val="0"/>
    <w:rPr>
      <w:rFonts w:ascii="仿宋_GB2312" w:eastAsia="微软雅黑" w:cs="Times New Roman"/>
      <w:b/>
      <w:kern w:val="2"/>
      <w:sz w:val="32"/>
      <w:szCs w:val="32"/>
      <w:lang w:val="en-US" w:eastAsia="zh-CN" w:bidi="ar-SA"/>
    </w:rPr>
  </w:style>
  <w:style w:type="character" w:customStyle="1" w:styleId="209">
    <w:name w:val="标题 7 Char"/>
    <w:link w:val="10"/>
    <w:qFormat/>
    <w:uiPriority w:val="0"/>
    <w:rPr>
      <w:b/>
      <w:bCs/>
      <w:kern w:val="2"/>
      <w:sz w:val="24"/>
      <w:szCs w:val="24"/>
    </w:rPr>
  </w:style>
  <w:style w:type="character" w:customStyle="1" w:styleId="210">
    <w:name w:val="Normal Indent Char Char"/>
    <w:qFormat/>
    <w:uiPriority w:val="0"/>
    <w:rPr>
      <w:rFonts w:eastAsia="宋体"/>
      <w:kern w:val="2"/>
      <w:sz w:val="21"/>
      <w:lang w:val="en-US" w:eastAsia="zh-CN" w:bidi="ar-SA"/>
    </w:rPr>
  </w:style>
  <w:style w:type="character" w:customStyle="1" w:styleId="211">
    <w:name w:val="f141"/>
    <w:qFormat/>
    <w:uiPriority w:val="0"/>
    <w:rPr>
      <w:rFonts w:ascii="Tahoma" w:hAnsi="Tahoma" w:eastAsia="宋体"/>
      <w:b/>
      <w:kern w:val="2"/>
      <w:sz w:val="21"/>
      <w:szCs w:val="21"/>
      <w:lang w:val="en-US" w:eastAsia="zh-CN" w:bidi="ar-SA"/>
    </w:rPr>
  </w:style>
  <w:style w:type="character" w:customStyle="1" w:styleId="212">
    <w:name w:val="日期 Char"/>
    <w:link w:val="34"/>
    <w:qFormat/>
    <w:uiPriority w:val="0"/>
    <w:rPr>
      <w:rFonts w:ascii="宋体"/>
      <w:kern w:val="2"/>
      <w:sz w:val="24"/>
      <w:szCs w:val="21"/>
      <w:lang w:val="zh-CN"/>
    </w:rPr>
  </w:style>
  <w:style w:type="character" w:customStyle="1" w:styleId="213">
    <w:name w:val="myp1111"/>
    <w:qFormat/>
    <w:uiPriority w:val="0"/>
    <w:rPr>
      <w:rFonts w:hint="default" w:ascii="ˎ̥" w:hAnsi="ˎ̥"/>
      <w:color w:val="000000"/>
      <w:sz w:val="20"/>
      <w:szCs w:val="20"/>
      <w:u w:val="none"/>
    </w:rPr>
  </w:style>
  <w:style w:type="character" w:customStyle="1" w:styleId="214">
    <w:name w:val="称呼 Char"/>
    <w:link w:val="23"/>
    <w:qFormat/>
    <w:uiPriority w:val="0"/>
    <w:rPr>
      <w:rFonts w:ascii="仿宋_GB2312" w:eastAsia="仿宋_GB2312"/>
      <w:kern w:val="2"/>
      <w:sz w:val="28"/>
    </w:rPr>
  </w:style>
  <w:style w:type="character" w:customStyle="1" w:styleId="215">
    <w:name w:val="标题 4 Char"/>
    <w:link w:val="7"/>
    <w:qFormat/>
    <w:uiPriority w:val="0"/>
    <w:rPr>
      <w:rFonts w:ascii="Arial" w:hAnsi="Arial" w:eastAsia="黑体"/>
      <w:b/>
      <w:bCs/>
      <w:kern w:val="2"/>
      <w:sz w:val="28"/>
      <w:szCs w:val="28"/>
      <w:lang w:val="zh-CN"/>
    </w:rPr>
  </w:style>
  <w:style w:type="character" w:customStyle="1" w:styleId="216">
    <w:name w:val="标书1 Char"/>
    <w:qFormat/>
    <w:uiPriority w:val="0"/>
    <w:rPr>
      <w:rFonts w:eastAsia="宋体"/>
      <w:b/>
      <w:bCs/>
      <w:kern w:val="44"/>
      <w:sz w:val="44"/>
      <w:szCs w:val="44"/>
      <w:lang w:val="en-US" w:eastAsia="zh-CN" w:bidi="ar-SA"/>
    </w:rPr>
  </w:style>
  <w:style w:type="character" w:customStyle="1" w:styleId="217">
    <w:name w:val="链接"/>
    <w:qFormat/>
    <w:uiPriority w:val="0"/>
    <w:rPr>
      <w:color w:val="0000FF"/>
      <w:sz w:val="21"/>
      <w:szCs w:val="21"/>
      <w:u w:val="single"/>
    </w:rPr>
  </w:style>
  <w:style w:type="character" w:customStyle="1" w:styleId="218">
    <w:name w:val="正文首行缩进 Char Char Char Char Char Char"/>
    <w:qFormat/>
    <w:uiPriority w:val="0"/>
    <w:rPr>
      <w:rFonts w:ascii="宋体" w:eastAsia="宋体"/>
      <w:kern w:val="2"/>
      <w:sz w:val="24"/>
      <w:lang w:val="zh-CN" w:bidi="ar-SA"/>
    </w:rPr>
  </w:style>
  <w:style w:type="character" w:customStyle="1" w:styleId="219">
    <w:name w:val="正文2 Char Char"/>
    <w:link w:val="220"/>
    <w:qFormat/>
    <w:uiPriority w:val="0"/>
    <w:rPr>
      <w:rFonts w:eastAsia="宋体"/>
      <w:kern w:val="2"/>
      <w:sz w:val="24"/>
      <w:lang w:val="en-US" w:eastAsia="zh-CN" w:bidi="ar-SA"/>
    </w:rPr>
  </w:style>
  <w:style w:type="paragraph" w:customStyle="1" w:styleId="220">
    <w:name w:val="正文2"/>
    <w:basedOn w:val="1"/>
    <w:link w:val="219"/>
    <w:qFormat/>
    <w:uiPriority w:val="0"/>
    <w:pPr>
      <w:spacing w:before="156" w:line="360" w:lineRule="auto"/>
      <w:ind w:firstLine="510" w:firstLineChars="200"/>
    </w:pPr>
    <w:rPr>
      <w:sz w:val="24"/>
      <w:szCs w:val="20"/>
    </w:rPr>
  </w:style>
  <w:style w:type="character" w:customStyle="1" w:styleId="221">
    <w:name w:val="tw4winError"/>
    <w:qFormat/>
    <w:uiPriority w:val="0"/>
    <w:rPr>
      <w:rFonts w:ascii="Courier New" w:hAnsi="Courier New" w:cs="Courier New"/>
      <w:color w:val="00FF00"/>
      <w:sz w:val="40"/>
      <w:szCs w:val="40"/>
    </w:rPr>
  </w:style>
  <w:style w:type="character" w:customStyle="1" w:styleId="222">
    <w:name w:val="正文1 Char1"/>
    <w:qFormat/>
    <w:uiPriority w:val="0"/>
    <w:rPr>
      <w:rFonts w:ascii="仿宋_GB2312" w:hAnsi="Courier New" w:eastAsia="仿宋_GB2312"/>
      <w:kern w:val="28"/>
      <w:sz w:val="24"/>
      <w:szCs w:val="24"/>
      <w:lang w:val="en-US" w:eastAsia="zh-CN"/>
    </w:rPr>
  </w:style>
  <w:style w:type="character" w:customStyle="1" w:styleId="223">
    <w:name w:val="Used by Word for text of Help footnotes Char Char"/>
    <w:semiHidden/>
    <w:qFormat/>
    <w:uiPriority w:val="0"/>
    <w:rPr>
      <w:rFonts w:ascii="Times New Roman" w:hAnsi="Times New Roman" w:eastAsia="宋体" w:cs="Times New Roman"/>
      <w:sz w:val="20"/>
      <w:szCs w:val="20"/>
    </w:rPr>
  </w:style>
  <w:style w:type="character" w:customStyle="1" w:styleId="224">
    <w:name w:val="c7 style3"/>
    <w:qFormat/>
    <w:uiPriority w:val="0"/>
  </w:style>
  <w:style w:type="character" w:customStyle="1" w:styleId="225">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226">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227">
    <w:name w:val="表正文 Char"/>
    <w:qFormat/>
    <w:uiPriority w:val="0"/>
    <w:rPr>
      <w:rFonts w:ascii="宋体" w:eastAsia="宋体"/>
      <w:snapToGrid w:val="0"/>
      <w:color w:val="000000"/>
      <w:kern w:val="28"/>
      <w:sz w:val="28"/>
      <w:lang w:val="en-US" w:eastAsia="zh-CN" w:bidi="ar-SA"/>
    </w:rPr>
  </w:style>
  <w:style w:type="character" w:customStyle="1" w:styleId="228">
    <w:name w:val="普通文字 Char1 Char"/>
    <w:qFormat/>
    <w:uiPriority w:val="0"/>
    <w:rPr>
      <w:rFonts w:ascii="宋体" w:hAnsi="Courier New" w:eastAsia="宋体"/>
      <w:kern w:val="2"/>
      <w:sz w:val="21"/>
      <w:szCs w:val="24"/>
      <w:lang w:val="en-US" w:eastAsia="zh-CN" w:bidi="ar-SA"/>
    </w:rPr>
  </w:style>
  <w:style w:type="character" w:customStyle="1" w:styleId="229">
    <w:name w:val="pt9"/>
    <w:qFormat/>
    <w:uiPriority w:val="0"/>
    <w:rPr>
      <w:rFonts w:ascii="仿宋_GB2312" w:eastAsia="微软雅黑"/>
      <w:b/>
      <w:kern w:val="2"/>
      <w:sz w:val="32"/>
      <w:szCs w:val="32"/>
      <w:lang w:val="en-US" w:eastAsia="zh-CN" w:bidi="ar-SA"/>
    </w:rPr>
  </w:style>
  <w:style w:type="character" w:customStyle="1" w:styleId="230">
    <w:name w:val="表正文 Char1"/>
    <w:qFormat/>
    <w:uiPriority w:val="0"/>
    <w:rPr>
      <w:rFonts w:ascii="宋体" w:eastAsia="宋体"/>
      <w:snapToGrid w:val="0"/>
      <w:color w:val="000000"/>
      <w:kern w:val="28"/>
      <w:sz w:val="28"/>
    </w:rPr>
  </w:style>
  <w:style w:type="character" w:customStyle="1" w:styleId="231">
    <w:name w:val="正文非缩进 Char"/>
    <w:qFormat/>
    <w:uiPriority w:val="0"/>
    <w:rPr>
      <w:rFonts w:ascii="宋体" w:eastAsia="宋体"/>
      <w:snapToGrid w:val="0"/>
      <w:color w:val="000000"/>
      <w:kern w:val="28"/>
      <w:sz w:val="28"/>
      <w:lang w:val="en-US" w:eastAsia="zh-CN" w:bidi="ar-SA"/>
    </w:rPr>
  </w:style>
  <w:style w:type="character" w:customStyle="1" w:styleId="232">
    <w:name w:val="冯广丽 Char"/>
    <w:link w:val="233"/>
    <w:qFormat/>
    <w:uiPriority w:val="0"/>
    <w:rPr>
      <w:rFonts w:ascii="宋体" w:hAnsi="宋体"/>
      <w:kern w:val="2"/>
      <w:sz w:val="24"/>
      <w:szCs w:val="22"/>
    </w:rPr>
  </w:style>
  <w:style w:type="paragraph" w:customStyle="1" w:styleId="233">
    <w:name w:val="冯广丽"/>
    <w:basedOn w:val="1"/>
    <w:link w:val="232"/>
    <w:qFormat/>
    <w:uiPriority w:val="0"/>
    <w:pPr>
      <w:adjustRightInd/>
      <w:spacing w:line="360" w:lineRule="auto"/>
      <w:ind w:firstLine="480" w:firstLineChars="200"/>
    </w:pPr>
    <w:rPr>
      <w:rFonts w:ascii="宋体" w:hAnsi="宋体"/>
      <w:sz w:val="24"/>
      <w:szCs w:val="22"/>
    </w:rPr>
  </w:style>
  <w:style w:type="character" w:customStyle="1" w:styleId="234">
    <w:name w:val="large1"/>
    <w:qFormat/>
    <w:uiPriority w:val="0"/>
    <w:rPr>
      <w:rFonts w:hint="eastAsia" w:ascii="宋体" w:hAnsi="宋体" w:eastAsia="宋体"/>
      <w:sz w:val="21"/>
      <w:szCs w:val="21"/>
    </w:rPr>
  </w:style>
  <w:style w:type="character" w:customStyle="1" w:styleId="235">
    <w:name w:val="样式 样式 标题 4h4H4Fab-4T5Ref Heading 1rh1Heading sqlsect 1.2.3.... +... Char"/>
    <w:link w:val="236"/>
    <w:qFormat/>
    <w:uiPriority w:val="0"/>
    <w:rPr>
      <w:rFonts w:ascii="微软雅黑" w:hAnsi="微软雅黑" w:eastAsia="微软雅黑"/>
      <w:b/>
      <w:bCs/>
      <w:kern w:val="2"/>
      <w:sz w:val="24"/>
      <w:szCs w:val="28"/>
    </w:rPr>
  </w:style>
  <w:style w:type="paragraph" w:customStyle="1" w:styleId="236">
    <w:name w:val="样式 样式 标题 4h4H4Fab-4T5Ref Heading 1rh1Heading sqlsect 1.2.3.... +..."/>
    <w:basedOn w:val="161"/>
    <w:link w:val="235"/>
    <w:qFormat/>
    <w:uiPriority w:val="0"/>
  </w:style>
  <w:style w:type="character" w:customStyle="1" w:styleId="237">
    <w:name w:val="标题 1 Char Char"/>
    <w:qFormat/>
    <w:uiPriority w:val="0"/>
    <w:rPr>
      <w:rFonts w:hint="eastAsia" w:ascii="宋体" w:hAnsi="宋体" w:eastAsia="宋体"/>
      <w:b/>
      <w:spacing w:val="-2"/>
      <w:sz w:val="24"/>
      <w:lang w:val="en-US" w:eastAsia="zh-CN" w:bidi="ar-SA"/>
    </w:rPr>
  </w:style>
  <w:style w:type="character" w:customStyle="1" w:styleId="238">
    <w:name w:val="标题 4 Char1"/>
    <w:semiHidden/>
    <w:qFormat/>
    <w:uiPriority w:val="9"/>
    <w:rPr>
      <w:rFonts w:ascii="Cambria" w:hAnsi="Cambria" w:eastAsia="宋体" w:cs="Times New Roman"/>
      <w:b/>
      <w:bCs/>
      <w:kern w:val="2"/>
      <w:sz w:val="28"/>
      <w:szCs w:val="28"/>
    </w:rPr>
  </w:style>
  <w:style w:type="character" w:customStyle="1" w:styleId="239">
    <w:name w:val="脚注文本 Char"/>
    <w:link w:val="49"/>
    <w:qFormat/>
    <w:uiPriority w:val="0"/>
    <w:rPr>
      <w:color w:val="0000FF"/>
      <w:sz w:val="21"/>
    </w:rPr>
  </w:style>
  <w:style w:type="character" w:customStyle="1" w:styleId="240">
    <w:name w:val="zbggmain style9"/>
    <w:qFormat/>
    <w:uiPriority w:val="0"/>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tw4winPopup"/>
    <w:qFormat/>
    <w:uiPriority w:val="0"/>
    <w:rPr>
      <w:rFonts w:ascii="Courier New" w:hAnsi="Courier New" w:cs="Courier New"/>
      <w:color w:val="008000"/>
      <w:lang w:val="en-US" w:eastAsia="zh-CN"/>
    </w:rPr>
  </w:style>
  <w:style w:type="character" w:customStyle="1" w:styleId="243">
    <w:name w:val="标题 6 Char"/>
    <w:link w:val="9"/>
    <w:qFormat/>
    <w:uiPriority w:val="0"/>
    <w:rPr>
      <w:rFonts w:ascii="Arial" w:hAnsi="Arial" w:eastAsia="黑体"/>
      <w:b/>
      <w:bCs/>
      <w:kern w:val="2"/>
      <w:sz w:val="24"/>
      <w:szCs w:val="24"/>
    </w:rPr>
  </w:style>
  <w:style w:type="character" w:customStyle="1" w:styleId="244">
    <w:name w:val="样式 宋体"/>
    <w:qFormat/>
    <w:uiPriority w:val="0"/>
    <w:rPr>
      <w:rFonts w:ascii="宋体" w:hAnsi="宋体"/>
      <w:sz w:val="24"/>
    </w:rPr>
  </w:style>
  <w:style w:type="character" w:customStyle="1" w:styleId="245">
    <w:name w:val="正文缩进 Char2"/>
    <w:link w:val="18"/>
    <w:qFormat/>
    <w:uiPriority w:val="0"/>
    <w:rPr>
      <w:rFonts w:ascii="宋体" w:eastAsia="宋体"/>
      <w:snapToGrid w:val="0"/>
      <w:color w:val="000000"/>
      <w:kern w:val="28"/>
      <w:sz w:val="28"/>
      <w:lang w:val="en-US" w:eastAsia="zh-CN" w:bidi="ar-SA"/>
    </w:rPr>
  </w:style>
  <w:style w:type="character" w:customStyle="1" w:styleId="246">
    <w:name w:val="标题 Char"/>
    <w:qFormat/>
    <w:uiPriority w:val="0"/>
    <w:rPr>
      <w:rFonts w:eastAsia="宋体"/>
      <w:b/>
      <w:sz w:val="24"/>
      <w:lang w:val="en-GB" w:eastAsia="zh-CN" w:bidi="ar-SA"/>
    </w:rPr>
  </w:style>
  <w:style w:type="character" w:customStyle="1" w:styleId="247">
    <w:name w:val="正文首行缩进 2 Char"/>
    <w:link w:val="60"/>
    <w:qFormat/>
    <w:uiPriority w:val="0"/>
    <w:rPr>
      <w:rFonts w:ascii="宋体" w:hAnsi="宋体"/>
      <w:kern w:val="2"/>
      <w:sz w:val="21"/>
      <w:szCs w:val="24"/>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批注文字 Char1"/>
    <w:link w:val="22"/>
    <w:qFormat/>
    <w:uiPriority w:val="0"/>
    <w:rPr>
      <w:kern w:val="2"/>
      <w:sz w:val="21"/>
      <w:szCs w:val="24"/>
    </w:rPr>
  </w:style>
  <w:style w:type="character" w:customStyle="1" w:styleId="250">
    <w:name w:val="批注框文本 Char"/>
    <w:link w:val="38"/>
    <w:semiHidden/>
    <w:qFormat/>
    <w:uiPriority w:val="0"/>
    <w:rPr>
      <w:kern w:val="2"/>
      <w:sz w:val="18"/>
      <w:szCs w:val="18"/>
    </w:rPr>
  </w:style>
  <w:style w:type="character" w:customStyle="1" w:styleId="251">
    <w:name w:val="公文正文 Char"/>
    <w:qFormat/>
    <w:uiPriority w:val="0"/>
    <w:rPr>
      <w:rFonts w:ascii="仿宋_GB2312" w:eastAsia="仿宋_GB2312"/>
      <w:kern w:val="2"/>
      <w:sz w:val="24"/>
      <w:szCs w:val="24"/>
      <w:lang w:val="en-US" w:eastAsia="zh-CN" w:bidi="ar-SA"/>
    </w:rPr>
  </w:style>
  <w:style w:type="character" w:customStyle="1" w:styleId="252">
    <w:name w:val="Footer Char"/>
    <w:qFormat/>
    <w:locked/>
    <w:uiPriority w:val="0"/>
    <w:rPr>
      <w:rFonts w:eastAsia="宋体"/>
      <w:kern w:val="2"/>
      <w:sz w:val="18"/>
      <w:lang w:val="en-US" w:eastAsia="zh-CN" w:bidi="ar-SA"/>
    </w:rPr>
  </w:style>
  <w:style w:type="character" w:customStyle="1" w:styleId="253">
    <w:name w:val="Char Char41"/>
    <w:qFormat/>
    <w:uiPriority w:val="0"/>
    <w:rPr>
      <w:rFonts w:eastAsia="宋体"/>
      <w:b/>
      <w:sz w:val="24"/>
      <w:lang w:val="en-GB" w:eastAsia="zh-CN" w:bidi="ar-SA"/>
    </w:rPr>
  </w:style>
  <w:style w:type="character" w:customStyle="1" w:styleId="254">
    <w:name w:val="Char Char91"/>
    <w:qFormat/>
    <w:uiPriority w:val="0"/>
    <w:rPr>
      <w:rFonts w:eastAsia="宋体"/>
      <w:kern w:val="2"/>
      <w:sz w:val="18"/>
      <w:szCs w:val="18"/>
      <w:lang w:val="en-US" w:eastAsia="zh-CN" w:bidi="ar-SA"/>
    </w:rPr>
  </w:style>
  <w:style w:type="character" w:customStyle="1" w:styleId="255">
    <w:name w:val="列出段落 Char"/>
    <w:qFormat/>
    <w:uiPriority w:val="34"/>
    <w:rPr>
      <w:rFonts w:eastAsia="楷体_GB2312" w:cs="Lucida Sans"/>
      <w:kern w:val="2"/>
      <w:sz w:val="24"/>
      <w:szCs w:val="24"/>
      <w:lang w:val="en-US" w:eastAsia="zh-CN" w:bidi="ar-SA"/>
    </w:rPr>
  </w:style>
  <w:style w:type="character" w:customStyle="1" w:styleId="256">
    <w:name w:val="gf正文1 Char"/>
    <w:qFormat/>
    <w:uiPriority w:val="0"/>
    <w:rPr>
      <w:rFonts w:ascii="宋体" w:hAnsi="宋体" w:eastAsia="宋体" w:cs="宋体"/>
      <w:kern w:val="2"/>
      <w:sz w:val="24"/>
      <w:szCs w:val="24"/>
      <w:lang w:val="en-US" w:eastAsia="zh-CN" w:bidi="ar-SA"/>
    </w:rPr>
  </w:style>
  <w:style w:type="character" w:customStyle="1" w:styleId="257">
    <w:name w:val="标书表格字体格式 Char"/>
    <w:qFormat/>
    <w:uiPriority w:val="0"/>
    <w:rPr>
      <w:kern w:val="2"/>
      <w:sz w:val="21"/>
      <w:szCs w:val="24"/>
      <w:lang w:bidi="ar-SA"/>
    </w:rPr>
  </w:style>
  <w:style w:type="character" w:customStyle="1" w:styleId="258">
    <w:name w:val="样式6 Char"/>
    <w:qFormat/>
    <w:uiPriority w:val="0"/>
    <w:rPr>
      <w:rFonts w:ascii="仿宋_GB2312" w:hAnsi="宋体" w:eastAsia="仿宋_GB2312"/>
      <w:b/>
      <w:bCs/>
      <w:kern w:val="2"/>
      <w:sz w:val="24"/>
      <w:szCs w:val="24"/>
      <w:lang w:val="en-US" w:eastAsia="zh-CN" w:bidi="ar-SA"/>
    </w:rPr>
  </w:style>
  <w:style w:type="character" w:customStyle="1" w:styleId="259">
    <w:name w:val="签名 Char"/>
    <w:link w:val="41"/>
    <w:qFormat/>
    <w:uiPriority w:val="0"/>
    <w:rPr>
      <w:rFonts w:eastAsia="仿宋_GB2312"/>
      <w:sz w:val="24"/>
    </w:rPr>
  </w:style>
  <w:style w:type="character" w:customStyle="1" w:styleId="260">
    <w:name w:val="冯 Char"/>
    <w:link w:val="261"/>
    <w:qFormat/>
    <w:uiPriority w:val="0"/>
    <w:rPr>
      <w:rFonts w:ascii="宋体" w:hAnsi="宋体"/>
      <w:color w:val="000000"/>
      <w:sz w:val="24"/>
      <w:szCs w:val="24"/>
    </w:rPr>
  </w:style>
  <w:style w:type="paragraph" w:customStyle="1" w:styleId="261">
    <w:name w:val="冯"/>
    <w:basedOn w:val="1"/>
    <w:link w:val="260"/>
    <w:qFormat/>
    <w:uiPriority w:val="0"/>
    <w:pPr>
      <w:widowControl/>
      <w:adjustRightInd/>
      <w:spacing w:line="360" w:lineRule="auto"/>
      <w:ind w:firstLine="480" w:firstLineChars="200"/>
    </w:pPr>
    <w:rPr>
      <w:rFonts w:ascii="宋体" w:hAnsi="宋体"/>
      <w:color w:val="000000"/>
      <w:kern w:val="0"/>
      <w:sz w:val="24"/>
    </w:rPr>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md"/>
    <w:basedOn w:val="63"/>
    <w:qFormat/>
    <w:uiPriority w:val="0"/>
    <w:rPr>
      <w:rFonts w:ascii="Arial" w:hAnsi="Arial" w:eastAsia="黑体" w:cs="Arial"/>
      <w:snapToGrid w:val="0"/>
      <w:kern w:val="0"/>
      <w:szCs w:val="21"/>
    </w:rPr>
  </w:style>
  <w:style w:type="character" w:customStyle="1" w:styleId="264">
    <w:name w:val="样式5 Char"/>
    <w:qFormat/>
    <w:uiPriority w:val="0"/>
    <w:rPr>
      <w:rFonts w:ascii="仿宋_GB2312" w:hAnsi="仿宋" w:eastAsia="仿宋_GB2312"/>
      <w:kern w:val="2"/>
      <w:sz w:val="24"/>
      <w:szCs w:val="24"/>
    </w:rPr>
  </w:style>
  <w:style w:type="character" w:customStyle="1" w:styleId="265">
    <w:name w:val="表格 Char Char"/>
    <w:qFormat/>
    <w:uiPriority w:val="0"/>
    <w:rPr>
      <w:rFonts w:ascii="宋体" w:hAnsi="宋体" w:eastAsia="宋体"/>
      <w:lang w:bidi="ar-SA"/>
    </w:rPr>
  </w:style>
  <w:style w:type="character" w:customStyle="1" w:styleId="266">
    <w:name w:val="font12gray1"/>
    <w:qFormat/>
    <w:uiPriority w:val="0"/>
    <w:rPr>
      <w:rFonts w:ascii="仿宋_GB2312" w:eastAsia="微软雅黑"/>
      <w:b/>
      <w:spacing w:val="300"/>
      <w:kern w:val="2"/>
      <w:sz w:val="18"/>
      <w:szCs w:val="18"/>
      <w:lang w:val="en-US" w:eastAsia="zh-CN" w:bidi="ar-SA"/>
    </w:rPr>
  </w:style>
  <w:style w:type="character" w:customStyle="1" w:styleId="267">
    <w:name w:val="txt"/>
    <w:qFormat/>
    <w:uiPriority w:val="0"/>
    <w:rPr>
      <w:rFonts w:ascii="仿宋_GB2312" w:eastAsia="微软雅黑"/>
      <w:b/>
      <w:kern w:val="2"/>
      <w:sz w:val="32"/>
      <w:szCs w:val="32"/>
      <w:lang w:val="en-US" w:eastAsia="zh-CN" w:bidi="ar-SA"/>
    </w:rPr>
  </w:style>
  <w:style w:type="character" w:customStyle="1" w:styleId="268">
    <w:name w:val="tw4winJump"/>
    <w:qFormat/>
    <w:uiPriority w:val="0"/>
    <w:rPr>
      <w:rFonts w:ascii="Courier New" w:hAnsi="Courier New" w:cs="Courier New"/>
      <w:color w:val="008080"/>
      <w:lang w:val="en-US" w:eastAsia="zh-CN"/>
    </w:rPr>
  </w:style>
  <w:style w:type="character" w:customStyle="1" w:styleId="269">
    <w:name w:val="Item List Char"/>
    <w:link w:val="270"/>
    <w:qFormat/>
    <w:uiPriority w:val="0"/>
    <w:rPr>
      <w:rFonts w:ascii="Arial"/>
      <w:bCs/>
      <w:sz w:val="21"/>
      <w:szCs w:val="21"/>
      <w:lang w:val="en-US" w:eastAsia="zh-CN" w:bidi="ar-SA"/>
    </w:rPr>
  </w:style>
  <w:style w:type="paragraph" w:customStyle="1" w:styleId="270">
    <w:name w:val="Item List"/>
    <w:link w:val="26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271">
    <w:name w:val="Char Char121"/>
    <w:qFormat/>
    <w:uiPriority w:val="0"/>
    <w:rPr>
      <w:rFonts w:ascii="仿宋_GB2312" w:eastAsia="仿宋_GB2312"/>
      <w:b/>
      <w:bCs/>
      <w:kern w:val="2"/>
      <w:sz w:val="24"/>
      <w:szCs w:val="24"/>
      <w:lang w:val="zh-CN" w:eastAsia="zh-CN" w:bidi="ar-SA"/>
    </w:rPr>
  </w:style>
  <w:style w:type="paragraph" w:customStyle="1" w:styleId="27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273">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274">
    <w:name w:val="4"/>
    <w:basedOn w:val="1"/>
    <w:next w:val="37"/>
    <w:qFormat/>
    <w:uiPriority w:val="0"/>
    <w:pPr>
      <w:spacing w:after="120" w:line="480" w:lineRule="auto"/>
      <w:ind w:left="420" w:leftChars="200"/>
    </w:pPr>
    <w:rPr>
      <w:sz w:val="24"/>
      <w:szCs w:val="20"/>
    </w:rPr>
  </w:style>
  <w:style w:type="paragraph" w:customStyle="1" w:styleId="275">
    <w:name w:val="Char Char1"/>
    <w:basedOn w:val="1"/>
    <w:qFormat/>
    <w:uiPriority w:val="0"/>
    <w:pPr>
      <w:widowControl/>
      <w:spacing w:after="160" w:line="240" w:lineRule="exact"/>
      <w:jc w:val="left"/>
    </w:pPr>
    <w:rPr>
      <w:rFonts w:eastAsia="仿宋_GB2312"/>
      <w:sz w:val="28"/>
    </w:rPr>
  </w:style>
  <w:style w:type="paragraph" w:customStyle="1" w:styleId="27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277">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278">
    <w:name w:val="默认段落样式"/>
    <w:basedOn w:val="220"/>
    <w:qFormat/>
    <w:uiPriority w:val="0"/>
    <w:pPr>
      <w:spacing w:before="0"/>
      <w:ind w:firstLine="480"/>
      <w:outlineLvl w:val="2"/>
    </w:pPr>
    <w:rPr>
      <w:rFonts w:ascii="仿宋_GB2312" w:hAnsi="宋体" w:eastAsia="仿宋_GB2312"/>
      <w:color w:val="000000"/>
      <w:szCs w:val="24"/>
    </w:rPr>
  </w:style>
  <w:style w:type="paragraph" w:customStyle="1" w:styleId="279">
    <w:name w:val="Char Char1 Char Char Char Char Char Char"/>
    <w:basedOn w:val="1"/>
    <w:qFormat/>
    <w:uiPriority w:val="0"/>
    <w:rPr>
      <w:rFonts w:ascii="仿宋_GB2312" w:eastAsia="仿宋_GB2312"/>
      <w:b/>
      <w:sz w:val="32"/>
      <w:szCs w:val="20"/>
    </w:rPr>
  </w:style>
  <w:style w:type="paragraph" w:customStyle="1" w:styleId="28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28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282">
    <w:name w:val="文本正文 Char"/>
    <w:basedOn w:val="1"/>
    <w:qFormat/>
    <w:uiPriority w:val="0"/>
    <w:pPr>
      <w:spacing w:line="360" w:lineRule="auto"/>
      <w:ind w:firstLine="200" w:firstLineChars="200"/>
    </w:pPr>
    <w:rPr>
      <w:kern w:val="0"/>
      <w:sz w:val="24"/>
      <w:szCs w:val="20"/>
    </w:rPr>
  </w:style>
  <w:style w:type="paragraph" w:customStyle="1" w:styleId="283">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8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5">
    <w:name w:val="文章标题"/>
    <w:next w:val="286"/>
    <w:qFormat/>
    <w:uiPriority w:val="0"/>
    <w:pPr>
      <w:spacing w:beforeLines="800" w:afterLines="100"/>
      <w:jc w:val="center"/>
    </w:pPr>
    <w:rPr>
      <w:rFonts w:ascii="Arial" w:hAnsi="Arial" w:eastAsia="黑体" w:cs="宋体"/>
      <w:bCs/>
      <w:kern w:val="2"/>
      <w:sz w:val="52"/>
      <w:lang w:val="en-US" w:eastAsia="zh-CN" w:bidi="ar-SA"/>
    </w:rPr>
  </w:style>
  <w:style w:type="paragraph" w:customStyle="1" w:styleId="286">
    <w:name w:val="封面公司名"/>
    <w:qFormat/>
    <w:uiPriority w:val="0"/>
    <w:pPr>
      <w:jc w:val="center"/>
    </w:pPr>
    <w:rPr>
      <w:rFonts w:ascii="Arial" w:hAnsi="Arial" w:eastAsia="楷体_GB2312" w:cs="宋体"/>
      <w:bCs/>
      <w:kern w:val="2"/>
      <w:sz w:val="28"/>
      <w:lang w:val="en-US" w:eastAsia="zh-CN" w:bidi="ar-SA"/>
    </w:rPr>
  </w:style>
  <w:style w:type="paragraph" w:customStyle="1" w:styleId="287">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8">
    <w:name w:val="默认段落字体 Para Char Char Char Char Char Char Char"/>
    <w:basedOn w:val="1"/>
    <w:qFormat/>
    <w:uiPriority w:val="0"/>
    <w:rPr>
      <w:rFonts w:eastAsia="仿宋_GB2312"/>
      <w:sz w:val="28"/>
      <w:szCs w:val="20"/>
    </w:rPr>
  </w:style>
  <w:style w:type="paragraph" w:customStyle="1" w:styleId="28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90">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291">
    <w:name w:val="trademark"/>
    <w:qFormat/>
    <w:uiPriority w:val="0"/>
    <w:pPr>
      <w:spacing w:after="60"/>
    </w:pPr>
    <w:rPr>
      <w:rFonts w:ascii="Futura Bk" w:hAnsi="Futura Bk" w:eastAsia="宋体" w:cs="Times New Roman"/>
      <w:sz w:val="15"/>
      <w:lang w:val="en-US" w:eastAsia="en-US" w:bidi="ar-SA"/>
    </w:rPr>
  </w:style>
  <w:style w:type="paragraph" w:customStyle="1" w:styleId="29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93">
    <w:name w:val="Char3"/>
    <w:basedOn w:val="1"/>
    <w:qFormat/>
    <w:uiPriority w:val="0"/>
    <w:pPr>
      <w:adjustRightInd/>
    </w:pPr>
    <w:rPr>
      <w:rFonts w:ascii="仿宋_GB2312" w:eastAsia="仿宋_GB2312"/>
      <w:b/>
      <w:sz w:val="32"/>
      <w:szCs w:val="32"/>
    </w:rPr>
  </w:style>
  <w:style w:type="paragraph" w:customStyle="1" w:styleId="294">
    <w:name w:val="默认段落字体 Para Char"/>
    <w:basedOn w:val="1"/>
    <w:qFormat/>
    <w:uiPriority w:val="0"/>
    <w:rPr>
      <w:rFonts w:ascii="Tahoma" w:hAnsi="Tahoma"/>
      <w:sz w:val="24"/>
      <w:szCs w:val="20"/>
    </w:rPr>
  </w:style>
  <w:style w:type="paragraph" w:customStyle="1" w:styleId="29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96">
    <w:name w:val="Char Char Char Char Char Char Char Char Char Char Char Char1 Char"/>
    <w:basedOn w:val="1"/>
    <w:qFormat/>
    <w:uiPriority w:val="0"/>
    <w:rPr>
      <w:rFonts w:ascii="Tahoma" w:hAnsi="Tahoma" w:cs="仿宋_GB2312"/>
      <w:sz w:val="24"/>
      <w:szCs w:val="20"/>
    </w:rPr>
  </w:style>
  <w:style w:type="paragraph" w:customStyle="1" w:styleId="29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2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30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01">
    <w:name w:val="Char Char11 Char Char Char Char Char Char Char Char Char"/>
    <w:basedOn w:val="1"/>
    <w:qFormat/>
    <w:uiPriority w:val="0"/>
    <w:pPr>
      <w:spacing w:line="360" w:lineRule="auto"/>
    </w:pPr>
    <w:rPr>
      <w:szCs w:val="20"/>
    </w:rPr>
  </w:style>
  <w:style w:type="paragraph" w:customStyle="1" w:styleId="30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303">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04">
    <w:name w:val="左对齐表格文字"/>
    <w:basedOn w:val="1"/>
    <w:qFormat/>
    <w:uiPriority w:val="0"/>
    <w:pPr>
      <w:adjustRightInd/>
      <w:ind w:firstLine="200" w:firstLineChars="200"/>
      <w:jc w:val="right"/>
    </w:pPr>
  </w:style>
  <w:style w:type="paragraph" w:customStyle="1" w:styleId="305">
    <w:name w:val="Char31"/>
    <w:basedOn w:val="1"/>
    <w:qFormat/>
    <w:uiPriority w:val="0"/>
    <w:pPr>
      <w:adjustRightInd/>
      <w:ind w:firstLine="200" w:firstLineChars="200"/>
    </w:pPr>
    <w:rPr>
      <w:rFonts w:ascii="Tahoma" w:hAnsi="Tahoma"/>
      <w:sz w:val="24"/>
      <w:szCs w:val="20"/>
    </w:rPr>
  </w:style>
  <w:style w:type="paragraph" w:customStyle="1" w:styleId="30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0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0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09">
    <w:name w:val="彩色列表 - 强调文字颜色 11"/>
    <w:basedOn w:val="1"/>
    <w:qFormat/>
    <w:uiPriority w:val="0"/>
    <w:pPr>
      <w:adjustRightInd/>
      <w:ind w:firstLine="420" w:firstLineChars="200"/>
    </w:pPr>
    <w:rPr>
      <w:rFonts w:ascii="Calibri" w:hAnsi="Calibri"/>
      <w:szCs w:val="22"/>
    </w:rPr>
  </w:style>
  <w:style w:type="paragraph" w:customStyle="1" w:styleId="31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311">
    <w:name w:val="MM Topic 3"/>
    <w:basedOn w:val="6"/>
    <w:qFormat/>
    <w:uiPriority w:val="0"/>
    <w:pPr>
      <w:numPr>
        <w:numId w:val="4"/>
      </w:numPr>
      <w:tabs>
        <w:tab w:val="left" w:pos="840"/>
        <w:tab w:val="left" w:pos="1680"/>
      </w:tabs>
      <w:adjustRightInd/>
    </w:pPr>
  </w:style>
  <w:style w:type="paragraph" w:customStyle="1" w:styleId="312">
    <w:name w:val="Normal0"/>
    <w:qFormat/>
    <w:uiPriority w:val="0"/>
    <w:rPr>
      <w:rFonts w:ascii="Times New Roman" w:hAnsi="Times New Roman" w:eastAsia="宋体" w:cs="Times New Roman"/>
      <w:lang w:val="en-US" w:eastAsia="en-US" w:bidi="ar-SA"/>
    </w:rPr>
  </w:style>
  <w:style w:type="paragraph" w:customStyle="1" w:styleId="313">
    <w:name w:val="Char Char Char Char Char Char Char"/>
    <w:basedOn w:val="1"/>
    <w:qFormat/>
    <w:uiPriority w:val="0"/>
    <w:rPr>
      <w:rFonts w:ascii="仿宋_GB2312" w:eastAsia="仿宋_GB2312"/>
      <w:b/>
      <w:sz w:val="32"/>
      <w:szCs w:val="32"/>
    </w:rPr>
  </w:style>
  <w:style w:type="paragraph" w:customStyle="1" w:styleId="31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31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17">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1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2"/>
    <w:basedOn w:val="1"/>
    <w:qFormat/>
    <w:uiPriority w:val="0"/>
    <w:rPr>
      <w:rFonts w:ascii="仿宋_GB2312" w:eastAsia="仿宋_GB2312"/>
      <w:b/>
      <w:sz w:val="32"/>
      <w:szCs w:val="32"/>
    </w:rPr>
  </w:style>
  <w:style w:type="paragraph" w:customStyle="1" w:styleId="321">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32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23">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32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2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2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27">
    <w:name w:val="Char Char Char"/>
    <w:basedOn w:val="1"/>
    <w:qFormat/>
    <w:uiPriority w:val="0"/>
    <w:rPr>
      <w:rFonts w:ascii="Tahoma" w:hAnsi="Tahoma"/>
      <w:sz w:val="24"/>
      <w:szCs w:val="20"/>
    </w:rPr>
  </w:style>
  <w:style w:type="paragraph" w:customStyle="1" w:styleId="328">
    <w:name w:val="MM Topic 4"/>
    <w:basedOn w:val="7"/>
    <w:qFormat/>
    <w:uiPriority w:val="0"/>
    <w:pPr>
      <w:numPr>
        <w:numId w:val="4"/>
      </w:numPr>
      <w:tabs>
        <w:tab w:val="left" w:pos="840"/>
        <w:tab w:val="left" w:pos="2100"/>
        <w:tab w:val="clear" w:pos="864"/>
      </w:tabs>
      <w:adjustRightInd/>
    </w:pPr>
    <w:rPr>
      <w:lang w:val="en-US"/>
    </w:rPr>
  </w:style>
  <w:style w:type="paragraph" w:customStyle="1" w:styleId="329">
    <w:name w:val="标准小四"/>
    <w:basedOn w:val="1"/>
    <w:qFormat/>
    <w:uiPriority w:val="0"/>
    <w:pPr>
      <w:spacing w:line="360" w:lineRule="auto"/>
      <w:ind w:firstLine="480" w:firstLineChars="200"/>
    </w:pPr>
    <w:rPr>
      <w:rFonts w:ascii="Arial" w:hAnsi="Arial"/>
      <w:sz w:val="24"/>
      <w:szCs w:val="21"/>
    </w:rPr>
  </w:style>
  <w:style w:type="paragraph" w:customStyle="1" w:styleId="330">
    <w:name w:val="MM Topic 2"/>
    <w:basedOn w:val="5"/>
    <w:qFormat/>
    <w:uiPriority w:val="0"/>
    <w:pPr>
      <w:numPr>
        <w:ilvl w:val="1"/>
        <w:numId w:val="4"/>
      </w:numPr>
    </w:pPr>
    <w:rPr>
      <w:rFonts w:ascii="Arial" w:hAnsi="Arial" w:eastAsia="黑体"/>
      <w:lang w:val="en-US"/>
    </w:rPr>
  </w:style>
  <w:style w:type="paragraph" w:customStyle="1" w:styleId="331">
    <w:name w:val="表格标题2"/>
    <w:basedOn w:val="332"/>
    <w:qFormat/>
    <w:uiPriority w:val="0"/>
    <w:rPr>
      <w:b/>
    </w:rPr>
  </w:style>
  <w:style w:type="paragraph" w:customStyle="1" w:styleId="332">
    <w:name w:val="表格内文"/>
    <w:basedOn w:val="1"/>
    <w:qFormat/>
    <w:uiPriority w:val="0"/>
    <w:pPr>
      <w:adjustRightInd/>
      <w:spacing w:line="360" w:lineRule="auto"/>
    </w:pPr>
    <w:rPr>
      <w:rFonts w:ascii="宋体" w:hAnsi="宋体" w:cs="宋体"/>
      <w:color w:val="000000"/>
      <w:szCs w:val="20"/>
    </w:rPr>
  </w:style>
  <w:style w:type="paragraph" w:customStyle="1" w:styleId="33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3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335">
    <w:name w:val="Char Char11 Char Char Char Char Char Char Char Char Char1"/>
    <w:basedOn w:val="1"/>
    <w:qFormat/>
    <w:uiPriority w:val="0"/>
    <w:pPr>
      <w:spacing w:line="360" w:lineRule="auto"/>
    </w:pPr>
    <w:rPr>
      <w:szCs w:val="20"/>
    </w:rPr>
  </w:style>
  <w:style w:type="paragraph" w:customStyle="1" w:styleId="336">
    <w:name w:val="Char Char Char Char Char Char Char Char Char Char Char1 Char"/>
    <w:basedOn w:val="1"/>
    <w:qFormat/>
    <w:uiPriority w:val="0"/>
    <w:pPr>
      <w:adjustRightInd/>
    </w:pPr>
    <w:rPr>
      <w:rFonts w:ascii="Tahoma" w:hAnsi="Tahoma"/>
      <w:sz w:val="24"/>
    </w:rPr>
  </w:style>
  <w:style w:type="paragraph" w:customStyle="1" w:styleId="33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38">
    <w:name w:val="a1"/>
    <w:basedOn w:val="1"/>
    <w:qFormat/>
    <w:uiPriority w:val="0"/>
    <w:pPr>
      <w:widowControl/>
      <w:spacing w:line="300" w:lineRule="atLeast"/>
      <w:jc w:val="left"/>
    </w:pPr>
    <w:rPr>
      <w:rFonts w:ascii="宋体" w:hAnsi="宋体"/>
      <w:kern w:val="0"/>
      <w:sz w:val="18"/>
      <w:szCs w:val="20"/>
    </w:rPr>
  </w:style>
  <w:style w:type="paragraph" w:customStyle="1" w:styleId="33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40">
    <w:name w:val="Char"/>
    <w:basedOn w:val="1"/>
    <w:qFormat/>
    <w:uiPriority w:val="0"/>
    <w:rPr>
      <w:rFonts w:ascii="仿宋_GB2312" w:eastAsia="仿宋_GB2312"/>
      <w:b/>
      <w:sz w:val="32"/>
      <w:szCs w:val="32"/>
    </w:rPr>
  </w:style>
  <w:style w:type="paragraph" w:customStyle="1" w:styleId="341">
    <w:name w:val="!大节"/>
    <w:basedOn w:val="5"/>
    <w:qFormat/>
    <w:uiPriority w:val="0"/>
    <w:pPr>
      <w:numPr>
        <w:numId w:val="0"/>
      </w:numPr>
      <w:spacing w:before="260" w:after="260" w:line="415" w:lineRule="auto"/>
      <w:ind w:left="420" w:hanging="420"/>
    </w:pPr>
    <w:rPr>
      <w:rFonts w:ascii="Arial" w:hAnsi="Arial" w:eastAsia="微软雅黑"/>
      <w:lang w:val="en-US"/>
    </w:rPr>
  </w:style>
  <w:style w:type="paragraph" w:customStyle="1" w:styleId="342">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43">
    <w:name w:val="TOC 标题1"/>
    <w:basedOn w:val="4"/>
    <w:next w:val="1"/>
    <w:unhideWhenUsed/>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344">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5">
    <w:name w:val="Char3 Char Char Char"/>
    <w:basedOn w:val="1"/>
    <w:qFormat/>
    <w:uiPriority w:val="0"/>
    <w:pPr>
      <w:widowControl/>
      <w:adjustRightInd/>
      <w:spacing w:after="160" w:line="240" w:lineRule="exact"/>
      <w:jc w:val="left"/>
    </w:pPr>
    <w:rPr>
      <w:szCs w:val="20"/>
    </w:rPr>
  </w:style>
  <w:style w:type="paragraph" w:customStyle="1" w:styleId="34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34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4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5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35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354">
    <w:name w:val="Char Char1 Char Char1 Char Char1"/>
    <w:basedOn w:val="1"/>
    <w:qFormat/>
    <w:uiPriority w:val="0"/>
    <w:pPr>
      <w:tabs>
        <w:tab w:val="left" w:pos="840"/>
      </w:tabs>
      <w:ind w:left="840" w:hanging="420"/>
    </w:pPr>
    <w:rPr>
      <w:rFonts w:ascii="Tahoma" w:hAnsi="Tahoma"/>
      <w:sz w:val="24"/>
    </w:rPr>
  </w:style>
  <w:style w:type="paragraph" w:customStyle="1" w:styleId="35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56">
    <w:name w:val="样式 标题 2H2h2Underrubrik1prop2l2Chapter Titlesect 1.2DO NO..."/>
    <w:basedOn w:val="5"/>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57">
    <w:name w:val="默认段落字体 Para Char Char Char Char"/>
    <w:basedOn w:val="1"/>
    <w:qFormat/>
    <w:uiPriority w:val="0"/>
    <w:pPr>
      <w:spacing w:line="360" w:lineRule="auto"/>
    </w:pPr>
    <w:rPr>
      <w:szCs w:val="20"/>
    </w:rPr>
  </w:style>
  <w:style w:type="paragraph" w:customStyle="1" w:styleId="358">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35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6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正文21"/>
    <w:basedOn w:val="1"/>
    <w:qFormat/>
    <w:uiPriority w:val="0"/>
    <w:pPr>
      <w:adjustRightInd/>
      <w:spacing w:before="156" w:line="360" w:lineRule="auto"/>
      <w:ind w:firstLine="510" w:firstLineChars="200"/>
    </w:pPr>
    <w:rPr>
      <w:sz w:val="24"/>
      <w:szCs w:val="20"/>
    </w:rPr>
  </w:style>
  <w:style w:type="paragraph" w:customStyle="1" w:styleId="363">
    <w:name w:val="列出段落2"/>
    <w:basedOn w:val="1"/>
    <w:qFormat/>
    <w:uiPriority w:val="0"/>
    <w:pPr>
      <w:adjustRightInd/>
      <w:ind w:firstLine="420" w:firstLineChars="200"/>
    </w:pPr>
    <w:rPr>
      <w:rFonts w:ascii="宋体" w:hAnsi="宋体"/>
      <w:sz w:val="24"/>
    </w:rPr>
  </w:style>
  <w:style w:type="paragraph" w:customStyle="1" w:styleId="364">
    <w:name w:val="封面"/>
    <w:basedOn w:val="1"/>
    <w:qFormat/>
    <w:uiPriority w:val="0"/>
    <w:pPr>
      <w:spacing w:line="360" w:lineRule="atLeast"/>
      <w:jc w:val="right"/>
      <w:textAlignment w:val="baseline"/>
    </w:pPr>
    <w:rPr>
      <w:rFonts w:ascii="Symbol" w:hAnsi="Symbol"/>
      <w:kern w:val="0"/>
      <w:szCs w:val="20"/>
    </w:rPr>
  </w:style>
  <w:style w:type="paragraph" w:customStyle="1" w:styleId="365">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6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67">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368">
    <w:name w:val="Char Char1 Char Char Char Char Char Char1"/>
    <w:basedOn w:val="1"/>
    <w:qFormat/>
    <w:uiPriority w:val="0"/>
    <w:rPr>
      <w:rFonts w:ascii="仿宋_GB2312" w:eastAsia="仿宋_GB2312"/>
      <w:b/>
      <w:sz w:val="32"/>
      <w:szCs w:val="20"/>
    </w:rPr>
  </w:style>
  <w:style w:type="paragraph" w:customStyle="1" w:styleId="36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37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37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72">
    <w:name w:val="正文（首行缩进2字符）"/>
    <w:basedOn w:val="1"/>
    <w:qFormat/>
    <w:uiPriority w:val="0"/>
    <w:pPr>
      <w:adjustRightInd/>
      <w:spacing w:line="360" w:lineRule="auto"/>
      <w:ind w:firstLine="480" w:firstLineChars="200"/>
    </w:pPr>
    <w:rPr>
      <w:sz w:val="24"/>
      <w:szCs w:val="20"/>
    </w:rPr>
  </w:style>
  <w:style w:type="paragraph" w:customStyle="1" w:styleId="37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374">
    <w:name w:val="表文字"/>
    <w:qFormat/>
    <w:uiPriority w:val="0"/>
    <w:rPr>
      <w:rFonts w:ascii="宋体" w:hAnsi="Times New Roman" w:eastAsia="宋体" w:cs="Times New Roman"/>
      <w:kern w:val="2"/>
      <w:lang w:val="en-US" w:eastAsia="zh-CN" w:bidi="ar-SA"/>
    </w:rPr>
  </w:style>
  <w:style w:type="paragraph" w:customStyle="1" w:styleId="37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76">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378">
    <w:name w:val="有符号正文"/>
    <w:basedOn w:val="1"/>
    <w:qFormat/>
    <w:uiPriority w:val="0"/>
    <w:pPr>
      <w:adjustRightInd/>
      <w:spacing w:line="400" w:lineRule="exact"/>
      <w:ind w:firstLine="200" w:firstLineChars="200"/>
    </w:pPr>
    <w:rPr>
      <w:rFonts w:ascii="Arial" w:hAnsi="Arial"/>
    </w:rPr>
  </w:style>
  <w:style w:type="paragraph" w:customStyle="1" w:styleId="379">
    <w:name w:val="数字标题5"/>
    <w:basedOn w:val="8"/>
    <w:next w:val="1"/>
    <w:qFormat/>
    <w:uiPriority w:val="0"/>
    <w:pPr>
      <w:numPr>
        <w:numId w:val="5"/>
      </w:numPr>
      <w:tabs>
        <w:tab w:val="left" w:pos="480"/>
        <w:tab w:val="left" w:pos="1080"/>
      </w:tabs>
    </w:pPr>
  </w:style>
  <w:style w:type="paragraph" w:customStyle="1" w:styleId="380">
    <w:name w:val="Char12"/>
    <w:basedOn w:val="1"/>
    <w:qFormat/>
    <w:uiPriority w:val="0"/>
    <w:rPr>
      <w:rFonts w:ascii="仿宋_GB2312" w:eastAsia="仿宋_GB2312"/>
      <w:b/>
      <w:sz w:val="32"/>
      <w:szCs w:val="32"/>
    </w:rPr>
  </w:style>
  <w:style w:type="paragraph" w:customStyle="1" w:styleId="38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382">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383">
    <w:name w:val="加粗正文"/>
    <w:basedOn w:val="1"/>
    <w:qFormat/>
    <w:uiPriority w:val="0"/>
    <w:pPr>
      <w:adjustRightInd/>
      <w:spacing w:beforeLines="50" w:afterLines="50" w:line="360" w:lineRule="auto"/>
      <w:ind w:firstLine="422" w:firstLineChars="200"/>
    </w:pPr>
    <w:rPr>
      <w:b/>
      <w:bCs/>
      <w:szCs w:val="21"/>
    </w:rPr>
  </w:style>
  <w:style w:type="paragraph" w:customStyle="1" w:styleId="384">
    <w:name w:val="Char Char11 Char Char Char"/>
    <w:basedOn w:val="1"/>
    <w:qFormat/>
    <w:uiPriority w:val="0"/>
    <w:pPr>
      <w:spacing w:line="360" w:lineRule="auto"/>
    </w:pPr>
    <w:rPr>
      <w:szCs w:val="20"/>
    </w:rPr>
  </w:style>
  <w:style w:type="paragraph" w:customStyle="1" w:styleId="385">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86">
    <w:name w:val="Char Char111"/>
    <w:basedOn w:val="1"/>
    <w:qFormat/>
    <w:uiPriority w:val="0"/>
    <w:pPr>
      <w:spacing w:line="360" w:lineRule="auto"/>
    </w:pPr>
    <w:rPr>
      <w:szCs w:val="20"/>
    </w:rPr>
  </w:style>
  <w:style w:type="paragraph" w:customStyle="1" w:styleId="387">
    <w:name w:val="文档正文"/>
    <w:basedOn w:val="1"/>
    <w:qFormat/>
    <w:uiPriority w:val="0"/>
    <w:pPr>
      <w:spacing w:line="480" w:lineRule="atLeast"/>
      <w:ind w:firstLine="567"/>
      <w:textAlignment w:val="baseline"/>
    </w:pPr>
    <w:rPr>
      <w:kern w:val="0"/>
      <w:sz w:val="24"/>
      <w:szCs w:val="20"/>
    </w:rPr>
  </w:style>
  <w:style w:type="paragraph" w:customStyle="1" w:styleId="38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38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90">
    <w:name w:val="Char1 Char Char Char3"/>
    <w:basedOn w:val="1"/>
    <w:qFormat/>
    <w:uiPriority w:val="0"/>
    <w:pPr>
      <w:adjustRightInd/>
      <w:ind w:firstLine="200" w:firstLineChars="200"/>
    </w:pPr>
    <w:rPr>
      <w:rFonts w:ascii="Tahoma" w:hAnsi="Tahoma"/>
      <w:sz w:val="24"/>
      <w:szCs w:val="20"/>
    </w:rPr>
  </w:style>
  <w:style w:type="paragraph" w:customStyle="1" w:styleId="39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9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393">
    <w:name w:val="Char2 Char Char Char"/>
    <w:basedOn w:val="1"/>
    <w:qFormat/>
    <w:uiPriority w:val="0"/>
    <w:rPr>
      <w:rFonts w:ascii="仿宋_GB2312" w:eastAsia="仿宋_GB2312"/>
      <w:b/>
      <w:sz w:val="32"/>
      <w:szCs w:val="32"/>
    </w:rPr>
  </w:style>
  <w:style w:type="paragraph" w:customStyle="1" w:styleId="39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395">
    <w:name w:val="MM Topic 5"/>
    <w:basedOn w:val="8"/>
    <w:qFormat/>
    <w:uiPriority w:val="0"/>
    <w:pPr>
      <w:numPr>
        <w:numId w:val="4"/>
      </w:numPr>
      <w:tabs>
        <w:tab w:val="left" w:pos="840"/>
        <w:tab w:val="left" w:pos="2520"/>
      </w:tabs>
      <w:adjustRightInd/>
    </w:pPr>
  </w:style>
  <w:style w:type="paragraph" w:customStyle="1" w:styleId="39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399">
    <w:name w:val="Char1 Char Char Char2"/>
    <w:basedOn w:val="1"/>
    <w:qFormat/>
    <w:uiPriority w:val="0"/>
    <w:pPr>
      <w:adjustRightInd/>
      <w:ind w:firstLine="200" w:firstLineChars="200"/>
    </w:pPr>
    <w:rPr>
      <w:rFonts w:ascii="Tahoma" w:hAnsi="Tahoma"/>
      <w:sz w:val="24"/>
      <w:szCs w:val="20"/>
    </w:rPr>
  </w:style>
  <w:style w:type="paragraph" w:customStyle="1" w:styleId="400">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401">
    <w:name w:val="Char1 Char Char Char"/>
    <w:basedOn w:val="1"/>
    <w:qFormat/>
    <w:uiPriority w:val="0"/>
    <w:rPr>
      <w:rFonts w:ascii="Tahoma" w:hAnsi="Tahoma"/>
      <w:sz w:val="24"/>
      <w:szCs w:val="20"/>
    </w:rPr>
  </w:style>
  <w:style w:type="paragraph" w:customStyle="1" w:styleId="402">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03">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404">
    <w:name w:val="Char Char Char Char Char Char Char1"/>
    <w:basedOn w:val="1"/>
    <w:qFormat/>
    <w:uiPriority w:val="0"/>
    <w:rPr>
      <w:rFonts w:ascii="仿宋_GB2312" w:eastAsia="仿宋_GB2312"/>
      <w:b/>
      <w:sz w:val="32"/>
      <w:szCs w:val="32"/>
    </w:rPr>
  </w:style>
  <w:style w:type="paragraph" w:customStyle="1" w:styleId="405">
    <w:name w:val="Char2 Char Char Char1"/>
    <w:basedOn w:val="1"/>
    <w:qFormat/>
    <w:uiPriority w:val="0"/>
    <w:rPr>
      <w:rFonts w:ascii="仿宋_GB2312" w:eastAsia="仿宋_GB2312"/>
      <w:b/>
      <w:sz w:val="32"/>
      <w:szCs w:val="32"/>
    </w:rPr>
  </w:style>
  <w:style w:type="paragraph" w:customStyle="1" w:styleId="40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407">
    <w:name w:val="0"/>
    <w:basedOn w:val="1"/>
    <w:qFormat/>
    <w:uiPriority w:val="0"/>
    <w:pPr>
      <w:widowControl/>
    </w:pPr>
    <w:rPr>
      <w:kern w:val="0"/>
      <w:sz w:val="24"/>
      <w:szCs w:val="20"/>
    </w:rPr>
  </w:style>
  <w:style w:type="paragraph" w:customStyle="1" w:styleId="408">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0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41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11">
    <w:name w:val="默认段落字体 Para Char Char Char1 Char"/>
    <w:basedOn w:val="1"/>
    <w:qFormat/>
    <w:uiPriority w:val="0"/>
    <w:pPr>
      <w:spacing w:line="240" w:lineRule="atLeast"/>
      <w:ind w:left="420" w:firstLine="420"/>
    </w:pPr>
    <w:rPr>
      <w:sz w:val="24"/>
    </w:rPr>
  </w:style>
  <w:style w:type="paragraph" w:customStyle="1" w:styleId="412">
    <w:name w:val="样式 正文文本缩进 + 段前: 2 字符"/>
    <w:basedOn w:val="1"/>
    <w:qFormat/>
    <w:uiPriority w:val="0"/>
    <w:pPr>
      <w:adjustRightInd/>
      <w:ind w:left="420" w:leftChars="200"/>
      <w:jc w:val="left"/>
    </w:pPr>
    <w:rPr>
      <w:sz w:val="28"/>
      <w:szCs w:val="20"/>
      <w:lang w:eastAsia="zh-TW"/>
    </w:rPr>
  </w:style>
  <w:style w:type="paragraph" w:customStyle="1" w:styleId="413">
    <w:name w:val="标书标题2"/>
    <w:basedOn w:val="5"/>
    <w:qFormat/>
    <w:uiPriority w:val="0"/>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14">
    <w:name w:val="表格"/>
    <w:basedOn w:val="1"/>
    <w:qFormat/>
    <w:uiPriority w:val="0"/>
    <w:pPr>
      <w:snapToGrid w:val="0"/>
      <w:ind w:firstLine="42" w:firstLineChars="21"/>
    </w:pPr>
    <w:rPr>
      <w:rFonts w:ascii="宋体" w:hAnsi="宋体"/>
      <w:kern w:val="0"/>
      <w:sz w:val="20"/>
      <w:szCs w:val="20"/>
    </w:rPr>
  </w:style>
  <w:style w:type="paragraph" w:customStyle="1" w:styleId="41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16">
    <w:name w:val="样式 标题 3标题 3 Char第二层条h33Bold Headbh章标题1小标题level_3PIM 3..."/>
    <w:basedOn w:val="6"/>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7">
    <w:name w:val="数字标题6"/>
    <w:basedOn w:val="9"/>
    <w:next w:val="1"/>
    <w:qFormat/>
    <w:uiPriority w:val="0"/>
    <w:pPr>
      <w:numPr>
        <w:numId w:val="5"/>
      </w:numPr>
      <w:tabs>
        <w:tab w:val="left" w:pos="480"/>
        <w:tab w:val="left" w:pos="1080"/>
      </w:tabs>
    </w:pPr>
    <w:rPr>
      <w:rFonts w:ascii="Times New Roman" w:hAnsi="Times New Roman" w:eastAsia="宋体"/>
      <w:i/>
    </w:rPr>
  </w:style>
  <w:style w:type="paragraph" w:customStyle="1" w:styleId="4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19">
    <w:name w:val="P1"/>
    <w:basedOn w:val="1"/>
    <w:qFormat/>
    <w:uiPriority w:val="0"/>
    <w:pPr>
      <w:adjustRightInd/>
      <w:spacing w:line="288" w:lineRule="auto"/>
      <w:ind w:firstLine="425" w:firstLineChars="200"/>
    </w:pPr>
  </w:style>
  <w:style w:type="paragraph" w:customStyle="1" w:styleId="42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21">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22">
    <w:name w:val="正文文字 2"/>
    <w:basedOn w:val="423"/>
    <w:next w:val="423"/>
    <w:qFormat/>
    <w:uiPriority w:val="0"/>
    <w:rPr>
      <w:rFonts w:ascii="宋体" w:eastAsia="宋体" w:cs="Times New Roman"/>
      <w:color w:val="auto"/>
    </w:rPr>
  </w:style>
  <w:style w:type="paragraph" w:customStyle="1" w:styleId="423">
    <w:name w:val="Default"/>
    <w:next w:val="42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24">
    <w:name w:val="TOC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42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26">
    <w:name w:val="Char Char4 Char Char"/>
    <w:basedOn w:val="1"/>
    <w:qFormat/>
    <w:uiPriority w:val="0"/>
    <w:pPr>
      <w:widowControl/>
      <w:adjustRightInd/>
      <w:spacing w:after="160" w:line="240" w:lineRule="exact"/>
      <w:jc w:val="left"/>
    </w:pPr>
  </w:style>
  <w:style w:type="paragraph" w:customStyle="1" w:styleId="427">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28">
    <w:name w:val="_Style 12"/>
    <w:basedOn w:val="21"/>
    <w:qFormat/>
    <w:uiPriority w:val="0"/>
    <w:pPr>
      <w:snapToGrid w:val="0"/>
      <w:spacing w:line="360" w:lineRule="auto"/>
    </w:pPr>
  </w:style>
  <w:style w:type="paragraph" w:customStyle="1" w:styleId="42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30">
    <w:name w:val="Char Char1 Char1"/>
    <w:basedOn w:val="1"/>
    <w:qFormat/>
    <w:uiPriority w:val="0"/>
    <w:rPr>
      <w:rFonts w:ascii="仿宋_GB2312" w:eastAsia="仿宋_GB2312"/>
      <w:b/>
      <w:sz w:val="32"/>
      <w:szCs w:val="32"/>
    </w:rPr>
  </w:style>
  <w:style w:type="paragraph" w:customStyle="1" w:styleId="431">
    <w:name w:val="Char2 Char Char"/>
    <w:basedOn w:val="1"/>
    <w:qFormat/>
    <w:uiPriority w:val="0"/>
    <w:pPr>
      <w:adjustRightInd/>
    </w:pPr>
    <w:rPr>
      <w:rFonts w:ascii="Tahoma" w:hAnsi="Tahoma"/>
      <w:sz w:val="24"/>
      <w:szCs w:val="20"/>
    </w:rPr>
  </w:style>
  <w:style w:type="paragraph" w:customStyle="1" w:styleId="43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33">
    <w:name w:val="MM Empty"/>
    <w:basedOn w:val="1"/>
    <w:qFormat/>
    <w:uiPriority w:val="0"/>
    <w:pPr>
      <w:adjustRightInd/>
    </w:pPr>
  </w:style>
  <w:style w:type="paragraph" w:customStyle="1" w:styleId="434">
    <w:name w:val="正文表标题"/>
    <w:next w:val="34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3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3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3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38">
    <w:name w:val="Char2 Char Char1"/>
    <w:basedOn w:val="1"/>
    <w:qFormat/>
    <w:uiPriority w:val="0"/>
    <w:pPr>
      <w:adjustRightInd/>
    </w:pPr>
    <w:rPr>
      <w:rFonts w:ascii="Tahoma" w:hAnsi="Tahoma"/>
      <w:sz w:val="24"/>
      <w:szCs w:val="20"/>
    </w:rPr>
  </w:style>
  <w:style w:type="paragraph" w:customStyle="1" w:styleId="439">
    <w:name w:val="数字标题3"/>
    <w:basedOn w:val="6"/>
    <w:next w:val="1"/>
    <w:qFormat/>
    <w:uiPriority w:val="0"/>
    <w:pPr>
      <w:numPr>
        <w:numId w:val="0"/>
      </w:numPr>
      <w:spacing w:line="240" w:lineRule="auto"/>
    </w:pPr>
    <w:rPr>
      <w:sz w:val="28"/>
      <w:szCs w:val="28"/>
    </w:rPr>
  </w:style>
  <w:style w:type="paragraph" w:customStyle="1" w:styleId="440">
    <w:name w:val="彩色列表 - 强调文字颜色 12"/>
    <w:basedOn w:val="1"/>
    <w:qFormat/>
    <w:uiPriority w:val="0"/>
    <w:pPr>
      <w:adjustRightInd/>
      <w:ind w:firstLine="420" w:firstLineChars="200"/>
    </w:pPr>
    <w:rPr>
      <w:rFonts w:ascii="Calibri" w:hAnsi="Calibri"/>
      <w:szCs w:val="22"/>
    </w:rPr>
  </w:style>
  <w:style w:type="paragraph" w:customStyle="1" w:styleId="441">
    <w:name w:val="正文－恩普"/>
    <w:basedOn w:val="18"/>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44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443">
    <w:name w:val="正文（标题三）"/>
    <w:basedOn w:val="1"/>
    <w:qFormat/>
    <w:uiPriority w:val="0"/>
    <w:pPr>
      <w:spacing w:line="360" w:lineRule="auto"/>
      <w:ind w:firstLine="200" w:firstLineChars="200"/>
    </w:pPr>
    <w:rPr>
      <w:sz w:val="24"/>
    </w:rPr>
  </w:style>
  <w:style w:type="paragraph" w:customStyle="1" w:styleId="444">
    <w:name w:val="Char Char Char1 Char"/>
    <w:basedOn w:val="1"/>
    <w:qFormat/>
    <w:uiPriority w:val="0"/>
    <w:rPr>
      <w:szCs w:val="20"/>
    </w:rPr>
  </w:style>
  <w:style w:type="paragraph" w:customStyle="1" w:styleId="44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46">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447">
    <w:name w:val="标题五"/>
    <w:basedOn w:val="1"/>
    <w:qFormat/>
    <w:uiPriority w:val="0"/>
    <w:pPr>
      <w:adjustRightInd/>
      <w:spacing w:beforeLines="50" w:line="360" w:lineRule="auto"/>
    </w:pPr>
    <w:rPr>
      <w:b/>
      <w:sz w:val="24"/>
    </w:rPr>
  </w:style>
  <w:style w:type="paragraph" w:customStyle="1" w:styleId="448">
    <w:name w:val="Char Char Char Char Char Char Char Char Char Char Char Char1 Char1"/>
    <w:basedOn w:val="1"/>
    <w:qFormat/>
    <w:uiPriority w:val="0"/>
    <w:rPr>
      <w:rFonts w:ascii="Tahoma" w:hAnsi="Tahoma" w:cs="仿宋_GB2312"/>
      <w:sz w:val="24"/>
      <w:szCs w:val="20"/>
    </w:rPr>
  </w:style>
  <w:style w:type="paragraph" w:customStyle="1" w:styleId="449">
    <w:name w:val="Bulleted List"/>
    <w:basedOn w:val="1"/>
    <w:qFormat/>
    <w:uiPriority w:val="0"/>
    <w:pPr>
      <w:tabs>
        <w:tab w:val="left" w:pos="1260"/>
      </w:tabs>
      <w:adjustRightInd/>
      <w:ind w:left="1260" w:hanging="420"/>
    </w:pPr>
  </w:style>
  <w:style w:type="paragraph" w:customStyle="1" w:styleId="450">
    <w:name w:val="Char Char1 Char Char Char"/>
    <w:basedOn w:val="1"/>
    <w:qFormat/>
    <w:uiPriority w:val="0"/>
    <w:rPr>
      <w:rFonts w:ascii="仿宋_GB2312" w:eastAsia="仿宋_GB2312"/>
      <w:b/>
      <w:sz w:val="32"/>
      <w:szCs w:val="20"/>
    </w:rPr>
  </w:style>
  <w:style w:type="paragraph" w:customStyle="1" w:styleId="45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2">
    <w:name w:val="数字标题2"/>
    <w:basedOn w:val="5"/>
    <w:next w:val="1"/>
    <w:qFormat/>
    <w:uiPriority w:val="0"/>
    <w:pPr>
      <w:numPr>
        <w:ilvl w:val="1"/>
        <w:numId w:val="5"/>
      </w:numPr>
    </w:pPr>
    <w:rPr>
      <w:rFonts w:ascii="Times New Roman" w:eastAsia="宋体"/>
      <w:i/>
      <w:sz w:val="36"/>
      <w:szCs w:val="36"/>
      <w:lang w:val="en-US"/>
    </w:rPr>
  </w:style>
  <w:style w:type="paragraph" w:customStyle="1" w:styleId="453">
    <w:name w:val="小节"/>
    <w:basedOn w:val="6"/>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54">
    <w:name w:val="Char21"/>
    <w:basedOn w:val="1"/>
    <w:qFormat/>
    <w:uiPriority w:val="0"/>
    <w:pPr>
      <w:adjustRightInd/>
      <w:ind w:firstLine="200" w:firstLineChars="200"/>
    </w:pPr>
    <w:rPr>
      <w:rFonts w:ascii="仿宋_GB2312" w:eastAsia="仿宋_GB2312"/>
      <w:b/>
      <w:sz w:val="32"/>
      <w:szCs w:val="32"/>
    </w:rPr>
  </w:style>
  <w:style w:type="paragraph" w:customStyle="1" w:styleId="455">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56">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45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5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61">
    <w:name w:val="标书表格字体格式"/>
    <w:next w:val="308"/>
    <w:qFormat/>
    <w:uiPriority w:val="0"/>
    <w:rPr>
      <w:rFonts w:ascii="Times New Roman" w:hAnsi="Times New Roman" w:eastAsia="宋体" w:cs="Times New Roman"/>
      <w:kern w:val="2"/>
      <w:sz w:val="21"/>
      <w:szCs w:val="24"/>
      <w:lang w:val="en-US" w:eastAsia="zh-CN" w:bidi="ar-SA"/>
    </w:rPr>
  </w:style>
  <w:style w:type="paragraph" w:customStyle="1" w:styleId="4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46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64">
    <w:name w:val="五级条标题"/>
    <w:basedOn w:val="465"/>
    <w:next w:val="349"/>
    <w:qFormat/>
    <w:uiPriority w:val="0"/>
    <w:pPr>
      <w:numPr>
        <w:ilvl w:val="6"/>
      </w:numPr>
      <w:tabs>
        <w:tab w:val="left" w:pos="1260"/>
        <w:tab w:val="left" w:pos="1680"/>
        <w:tab w:val="left" w:pos="2100"/>
        <w:tab w:val="left" w:pos="2520"/>
        <w:tab w:val="left" w:pos="2940"/>
      </w:tabs>
      <w:outlineLvl w:val="6"/>
    </w:pPr>
  </w:style>
  <w:style w:type="paragraph" w:customStyle="1" w:styleId="465">
    <w:name w:val="四级条标题"/>
    <w:basedOn w:val="466"/>
    <w:next w:val="349"/>
    <w:qFormat/>
    <w:uiPriority w:val="0"/>
    <w:pPr>
      <w:numPr>
        <w:ilvl w:val="5"/>
        <w:numId w:val="4"/>
      </w:numPr>
      <w:tabs>
        <w:tab w:val="left" w:pos="1260"/>
        <w:tab w:val="left" w:pos="1680"/>
        <w:tab w:val="left" w:pos="2100"/>
        <w:tab w:val="left" w:pos="2520"/>
      </w:tabs>
      <w:outlineLvl w:val="5"/>
    </w:pPr>
  </w:style>
  <w:style w:type="paragraph" w:customStyle="1" w:styleId="466">
    <w:name w:val="三级条标题"/>
    <w:basedOn w:val="467"/>
    <w:next w:val="349"/>
    <w:qFormat/>
    <w:uiPriority w:val="0"/>
    <w:pPr>
      <w:tabs>
        <w:tab w:val="left" w:pos="1260"/>
        <w:tab w:val="left" w:pos="1680"/>
        <w:tab w:val="left" w:pos="2100"/>
        <w:tab w:val="left" w:pos="2520"/>
      </w:tabs>
      <w:ind w:left="2520"/>
      <w:outlineLvl w:val="4"/>
    </w:pPr>
  </w:style>
  <w:style w:type="paragraph" w:customStyle="1" w:styleId="467">
    <w:name w:val="二级条标题"/>
    <w:basedOn w:val="468"/>
    <w:next w:val="349"/>
    <w:qFormat/>
    <w:uiPriority w:val="0"/>
    <w:pPr>
      <w:tabs>
        <w:tab w:val="left" w:pos="1260"/>
        <w:tab w:val="left" w:pos="1680"/>
        <w:tab w:val="left" w:pos="2100"/>
      </w:tabs>
      <w:ind w:left="0"/>
      <w:outlineLvl w:val="3"/>
    </w:pPr>
  </w:style>
  <w:style w:type="paragraph" w:customStyle="1" w:styleId="468">
    <w:name w:val="一级条标题"/>
    <w:basedOn w:val="469"/>
    <w:next w:val="349"/>
    <w:qFormat/>
    <w:uiPriority w:val="0"/>
    <w:pPr>
      <w:tabs>
        <w:tab w:val="left" w:pos="1260"/>
        <w:tab w:val="left" w:pos="1680"/>
      </w:tabs>
      <w:spacing w:beforeLines="0" w:afterLines="0"/>
      <w:ind w:left="1680"/>
      <w:outlineLvl w:val="2"/>
    </w:pPr>
  </w:style>
  <w:style w:type="paragraph" w:customStyle="1" w:styleId="469">
    <w:name w:val="章标题"/>
    <w:next w:val="349"/>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470">
    <w:name w:val="数字标题4"/>
    <w:basedOn w:val="7"/>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7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72">
    <w:name w:val="样式 标题 22h2L1 Heading 2H2sect 1.2H21sect 1.21H22sect 1.2..."/>
    <w:basedOn w:val="5"/>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47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7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75">
    <w:name w:val="数字标题1"/>
    <w:basedOn w:val="4"/>
    <w:next w:val="1"/>
    <w:qFormat/>
    <w:uiPriority w:val="0"/>
    <w:pPr>
      <w:numPr>
        <w:ilvl w:val="0"/>
        <w:numId w:val="5"/>
      </w:numPr>
      <w:tabs>
        <w:tab w:val="left" w:pos="432"/>
      </w:tabs>
    </w:pPr>
  </w:style>
  <w:style w:type="paragraph" w:customStyle="1" w:styleId="476">
    <w:name w:val="正文 项目2"/>
    <w:basedOn w:val="375"/>
    <w:qFormat/>
    <w:uiPriority w:val="0"/>
    <w:pPr>
      <w:numPr>
        <w:ilvl w:val="0"/>
        <w:numId w:val="6"/>
      </w:numPr>
      <w:tabs>
        <w:tab w:val="clear" w:pos="840"/>
      </w:tabs>
      <w:spacing w:after="0"/>
    </w:pPr>
  </w:style>
  <w:style w:type="paragraph" w:customStyle="1" w:styleId="47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47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8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1">
    <w:name w:val="Char Char Char1 Char1"/>
    <w:basedOn w:val="1"/>
    <w:qFormat/>
    <w:uiPriority w:val="0"/>
    <w:rPr>
      <w:szCs w:val="20"/>
    </w:rPr>
  </w:style>
  <w:style w:type="paragraph" w:customStyle="1" w:styleId="482">
    <w:name w:val="Char1 Char Char Char4"/>
    <w:basedOn w:val="1"/>
    <w:qFormat/>
    <w:uiPriority w:val="0"/>
    <w:pPr>
      <w:adjustRightInd/>
      <w:ind w:firstLine="200" w:firstLineChars="200"/>
    </w:pPr>
    <w:rPr>
      <w:rFonts w:ascii="Tahoma" w:hAnsi="Tahoma"/>
      <w:sz w:val="24"/>
      <w:szCs w:val="20"/>
    </w:rPr>
  </w:style>
  <w:style w:type="paragraph" w:customStyle="1" w:styleId="483">
    <w:name w:val="TOC 标题2"/>
    <w:basedOn w:val="4"/>
    <w:next w:val="1"/>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48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8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8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8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8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8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90">
    <w:name w:val="Char Char11 Char Char Char1"/>
    <w:basedOn w:val="1"/>
    <w:qFormat/>
    <w:uiPriority w:val="0"/>
    <w:pPr>
      <w:spacing w:line="360" w:lineRule="auto"/>
    </w:pPr>
    <w:rPr>
      <w:szCs w:val="20"/>
    </w:rPr>
  </w:style>
  <w:style w:type="paragraph" w:customStyle="1" w:styleId="49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Char Char Char Char Char Char Char Char"/>
    <w:basedOn w:val="1"/>
    <w:qFormat/>
    <w:uiPriority w:val="0"/>
    <w:pPr>
      <w:tabs>
        <w:tab w:val="left" w:pos="360"/>
      </w:tabs>
    </w:pPr>
    <w:rPr>
      <w:sz w:val="24"/>
      <w:szCs w:val="20"/>
    </w:rPr>
  </w:style>
  <w:style w:type="paragraph" w:customStyle="1" w:styleId="494">
    <w:name w:val="表格（小）"/>
    <w:basedOn w:val="1"/>
    <w:qFormat/>
    <w:uiPriority w:val="0"/>
    <w:pPr>
      <w:adjustRightInd/>
      <w:snapToGrid w:val="0"/>
      <w:spacing w:line="300" w:lineRule="auto"/>
    </w:pPr>
    <w:rPr>
      <w:rFonts w:eastAsia="仿宋"/>
      <w:szCs w:val="21"/>
    </w:rPr>
  </w:style>
  <w:style w:type="paragraph" w:customStyle="1" w:styleId="495">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49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497">
    <w:name w:val="List Paragraph1"/>
    <w:basedOn w:val="1"/>
    <w:qFormat/>
    <w:uiPriority w:val="34"/>
    <w:pPr>
      <w:spacing w:line="360" w:lineRule="auto"/>
      <w:ind w:firstLine="200" w:firstLineChars="200"/>
    </w:pPr>
    <w:rPr>
      <w:rFonts w:eastAsia="楷体_GB2312" w:cs="Lucida Sans"/>
      <w:sz w:val="24"/>
    </w:rPr>
  </w:style>
  <w:style w:type="paragraph" w:customStyle="1" w:styleId="498">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9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0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01">
    <w:name w:val="Table Text"/>
    <w:basedOn w:val="1"/>
    <w:qFormat/>
    <w:uiPriority w:val="0"/>
    <w:pPr>
      <w:widowControl/>
      <w:spacing w:before="60" w:after="60"/>
      <w:jc w:val="left"/>
    </w:pPr>
    <w:rPr>
      <w:kern w:val="0"/>
      <w:sz w:val="24"/>
    </w:rPr>
  </w:style>
  <w:style w:type="paragraph" w:customStyle="1" w:styleId="502">
    <w:name w:val="标书标题3"/>
    <w:basedOn w:val="6"/>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03">
    <w:name w:val="Char23"/>
    <w:basedOn w:val="1"/>
    <w:qFormat/>
    <w:uiPriority w:val="0"/>
    <w:rPr>
      <w:rFonts w:ascii="仿宋_GB2312" w:eastAsia="仿宋_GB2312"/>
      <w:b/>
      <w:sz w:val="32"/>
      <w:szCs w:val="32"/>
    </w:rPr>
  </w:style>
  <w:style w:type="paragraph" w:customStyle="1" w:styleId="504">
    <w:name w:val="Char Char Char Char Char Char Char Char1"/>
    <w:basedOn w:val="1"/>
    <w:qFormat/>
    <w:uiPriority w:val="0"/>
    <w:pPr>
      <w:tabs>
        <w:tab w:val="left" w:pos="360"/>
      </w:tabs>
    </w:pPr>
    <w:rPr>
      <w:sz w:val="24"/>
      <w:szCs w:val="20"/>
    </w:rPr>
  </w:style>
  <w:style w:type="paragraph" w:customStyle="1" w:styleId="50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506">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7">
    <w:name w:val="样式 标题 1Level 1 HeadPIM 1Section Headh1l11Heading 0Datash..."/>
    <w:basedOn w:val="4"/>
    <w:qFormat/>
    <w:uiPriority w:val="0"/>
    <w:pPr>
      <w:widowControl/>
      <w:tabs>
        <w:tab w:val="left" w:pos="432"/>
      </w:tabs>
      <w:overflowPunct w:val="0"/>
      <w:autoSpaceDE w:val="0"/>
      <w:autoSpaceDN w:val="0"/>
      <w:spacing w:after="100"/>
      <w:jc w:val="left"/>
      <w:textAlignment w:val="baseline"/>
    </w:pPr>
    <w:rPr>
      <w:rFonts w:ascii="宋体" w:hAnsi="宋体"/>
      <w:sz w:val="24"/>
      <w:szCs w:val="20"/>
    </w:rPr>
  </w:style>
  <w:style w:type="paragraph" w:customStyle="1" w:styleId="50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509">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caps/>
      <w:color w:val="FFFFFF"/>
      <w:sz w:val="30"/>
      <w:szCs w:val="20"/>
    </w:rPr>
  </w:style>
  <w:style w:type="paragraph" w:customStyle="1" w:styleId="510">
    <w:name w:val="WW-正文文字缩进 2"/>
    <w:basedOn w:val="1"/>
    <w:qFormat/>
    <w:uiPriority w:val="0"/>
    <w:pPr>
      <w:suppressAutoHyphens/>
      <w:adjustRightInd/>
      <w:ind w:firstLine="420"/>
    </w:pPr>
    <w:rPr>
      <w:kern w:val="1"/>
      <w:szCs w:val="20"/>
    </w:rPr>
  </w:style>
  <w:style w:type="paragraph" w:customStyle="1" w:styleId="51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1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513">
    <w:name w:val="标书标题4"/>
    <w:basedOn w:val="7"/>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1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15">
    <w:name w:val="四号　首行缩进"/>
    <w:basedOn w:val="1"/>
    <w:qFormat/>
    <w:uiPriority w:val="0"/>
    <w:pPr>
      <w:adjustRightInd/>
      <w:spacing w:line="360" w:lineRule="auto"/>
    </w:pPr>
    <w:rPr>
      <w:rFonts w:ascii="宋体" w:hAnsi="宋体"/>
      <w:szCs w:val="20"/>
    </w:rPr>
  </w:style>
  <w:style w:type="paragraph" w:customStyle="1" w:styleId="516">
    <w:name w:val="样式 标题 3H3 + 两端对齐"/>
    <w:basedOn w:val="6"/>
    <w:qFormat/>
    <w:uiPriority w:val="0"/>
    <w:pPr>
      <w:keepLines w:val="0"/>
      <w:numPr>
        <w:numId w:val="0"/>
      </w:numPr>
      <w:spacing w:before="0" w:after="0" w:line="240" w:lineRule="auto"/>
      <w:jc w:val="left"/>
    </w:pPr>
    <w:rPr>
      <w:rFonts w:cs="宋体"/>
      <w:sz w:val="21"/>
      <w:szCs w:val="20"/>
    </w:rPr>
  </w:style>
  <w:style w:type="paragraph" w:customStyle="1" w:styleId="517">
    <w:name w:val="bullet"/>
    <w:basedOn w:val="1"/>
    <w:qFormat/>
    <w:uiPriority w:val="0"/>
    <w:pPr>
      <w:tabs>
        <w:tab w:val="left" w:pos="840"/>
      </w:tabs>
      <w:adjustRightInd/>
      <w:ind w:left="840" w:hanging="420"/>
    </w:pPr>
  </w:style>
  <w:style w:type="paragraph" w:customStyle="1" w:styleId="51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1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20">
    <w:name w:val="单元格居中"/>
    <w:basedOn w:val="1"/>
    <w:qFormat/>
    <w:uiPriority w:val="0"/>
    <w:pPr>
      <w:adjustRightInd/>
      <w:spacing w:line="360" w:lineRule="auto"/>
      <w:jc w:val="center"/>
    </w:pPr>
    <w:rPr>
      <w:sz w:val="24"/>
    </w:rPr>
  </w:style>
  <w:style w:type="paragraph" w:customStyle="1" w:styleId="521">
    <w:name w:val="Char Char Char Char Char Char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22">
    <w:name w:val="Char Char14"/>
    <w:basedOn w:val="1"/>
    <w:qFormat/>
    <w:uiPriority w:val="0"/>
    <w:pPr>
      <w:spacing w:line="360" w:lineRule="auto"/>
    </w:pPr>
    <w:rPr>
      <w:rFonts w:ascii="Tahoma" w:hAnsi="Tahoma"/>
      <w:sz w:val="24"/>
      <w:szCs w:val="20"/>
    </w:rPr>
  </w:style>
  <w:style w:type="paragraph" w:customStyle="1" w:styleId="52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52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25">
    <w:name w:val="Char3 Char Char Char1"/>
    <w:basedOn w:val="1"/>
    <w:qFormat/>
    <w:uiPriority w:val="0"/>
    <w:pPr>
      <w:widowControl/>
      <w:adjustRightInd/>
      <w:spacing w:after="160" w:line="240" w:lineRule="exact"/>
      <w:jc w:val="left"/>
    </w:pPr>
    <w:rPr>
      <w:szCs w:val="20"/>
    </w:rPr>
  </w:style>
  <w:style w:type="paragraph" w:customStyle="1" w:styleId="526">
    <w:name w:val="Char Char Char Char Char Char Char Char Char Char"/>
    <w:basedOn w:val="1"/>
    <w:qFormat/>
    <w:uiPriority w:val="0"/>
    <w:rPr>
      <w:rFonts w:ascii="仿宋_GB2312" w:eastAsia="仿宋_GB2312"/>
      <w:b/>
      <w:sz w:val="32"/>
      <w:szCs w:val="32"/>
    </w:rPr>
  </w:style>
  <w:style w:type="paragraph" w:customStyle="1" w:styleId="527">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2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529">
    <w:name w:val="EB_表格"/>
    <w:basedOn w:val="1"/>
    <w:qFormat/>
    <w:uiPriority w:val="0"/>
    <w:pPr>
      <w:adjustRightInd/>
      <w:spacing w:line="300" w:lineRule="auto"/>
      <w:jc w:val="center"/>
    </w:pPr>
  </w:style>
  <w:style w:type="paragraph" w:customStyle="1" w:styleId="530">
    <w:name w:val="Char5"/>
    <w:basedOn w:val="1"/>
    <w:qFormat/>
    <w:uiPriority w:val="0"/>
    <w:rPr>
      <w:rFonts w:ascii="仿宋_GB2312" w:eastAsia="仿宋_GB2312"/>
      <w:b/>
      <w:sz w:val="32"/>
      <w:szCs w:val="32"/>
    </w:rPr>
  </w:style>
  <w:style w:type="paragraph" w:customStyle="1" w:styleId="53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32">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53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34">
    <w:name w:val="表格题注"/>
    <w:next w:val="1"/>
    <w:qFormat/>
    <w:uiPriority w:val="0"/>
    <w:pPr>
      <w:keepLines/>
      <w:numPr>
        <w:ilvl w:val="8"/>
        <w:numId w:val="4"/>
      </w:numPr>
      <w:spacing w:beforeLines="100"/>
      <w:ind w:left="1089" w:hanging="369"/>
      <w:jc w:val="center"/>
    </w:pPr>
    <w:rPr>
      <w:rFonts w:ascii="Arial" w:hAnsi="Arial" w:eastAsia="宋体" w:cs="Times New Roman"/>
      <w:sz w:val="18"/>
      <w:szCs w:val="18"/>
      <w:lang w:val="en-US" w:eastAsia="zh-CN" w:bidi="ar-SA"/>
    </w:rPr>
  </w:style>
  <w:style w:type="paragraph" w:customStyle="1" w:styleId="53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36">
    <w:name w:val="MM Topic 1"/>
    <w:basedOn w:val="4"/>
    <w:qFormat/>
    <w:uiPriority w:val="0"/>
    <w:pPr>
      <w:tabs>
        <w:tab w:val="left" w:pos="432"/>
        <w:tab w:val="left" w:pos="840"/>
      </w:tabs>
      <w:ind w:left="840" w:hanging="420"/>
    </w:pPr>
  </w:style>
  <w:style w:type="paragraph" w:customStyle="1" w:styleId="53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3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39">
    <w:name w:val="插图题注"/>
    <w:next w:val="1"/>
    <w:qFormat/>
    <w:uiPriority w:val="0"/>
    <w:pPr>
      <w:numPr>
        <w:ilvl w:val="7"/>
        <w:numId w:val="4"/>
      </w:numPr>
      <w:spacing w:afterLines="100"/>
      <w:ind w:left="1089" w:hanging="369"/>
      <w:jc w:val="center"/>
    </w:pPr>
    <w:rPr>
      <w:rFonts w:ascii="Arial" w:hAnsi="Arial" w:eastAsia="宋体" w:cs="Times New Roman"/>
      <w:sz w:val="18"/>
      <w:szCs w:val="18"/>
      <w:lang w:val="en-US" w:eastAsia="zh-CN" w:bidi="ar-SA"/>
    </w:rPr>
  </w:style>
  <w:style w:type="paragraph" w:customStyle="1" w:styleId="54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541">
    <w:name w:val="列表内容"/>
    <w:basedOn w:val="1"/>
    <w:next w:val="1"/>
    <w:qFormat/>
    <w:uiPriority w:val="0"/>
    <w:pPr>
      <w:widowControl/>
      <w:tabs>
        <w:tab w:val="left" w:pos="840"/>
      </w:tabs>
      <w:ind w:left="840" w:hanging="420"/>
      <w:jc w:val="left"/>
    </w:pPr>
    <w:rPr>
      <w:kern w:val="0"/>
      <w:sz w:val="18"/>
    </w:rPr>
  </w:style>
  <w:style w:type="paragraph" w:customStyle="1" w:styleId="542">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54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54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545">
    <w:name w:val="Char1 Char Char Char1"/>
    <w:basedOn w:val="1"/>
    <w:qFormat/>
    <w:uiPriority w:val="0"/>
    <w:pPr>
      <w:adjustRightInd/>
      <w:ind w:firstLine="200" w:firstLineChars="200"/>
    </w:pPr>
    <w:rPr>
      <w:rFonts w:ascii="Tahoma" w:hAnsi="Tahoma"/>
      <w:sz w:val="24"/>
      <w:szCs w:val="20"/>
    </w:rPr>
  </w:style>
  <w:style w:type="paragraph" w:customStyle="1" w:styleId="546">
    <w:name w:val="图中文字"/>
    <w:basedOn w:val="1"/>
    <w:qFormat/>
    <w:uiPriority w:val="0"/>
    <w:pPr>
      <w:snapToGrid w:val="0"/>
      <w:spacing w:line="0" w:lineRule="atLeast"/>
      <w:ind w:firstLine="200" w:firstLineChars="200"/>
      <w:jc w:val="center"/>
    </w:pPr>
    <w:rPr>
      <w:sz w:val="24"/>
      <w:szCs w:val="20"/>
    </w:rPr>
  </w:style>
  <w:style w:type="paragraph" w:customStyle="1" w:styleId="547">
    <w:name w:val="正文段"/>
    <w:basedOn w:val="1"/>
    <w:qFormat/>
    <w:uiPriority w:val="0"/>
    <w:pPr>
      <w:widowControl/>
      <w:snapToGrid w:val="0"/>
      <w:spacing w:afterLines="50"/>
      <w:ind w:firstLine="200" w:firstLineChars="200"/>
    </w:pPr>
    <w:rPr>
      <w:kern w:val="0"/>
      <w:sz w:val="24"/>
      <w:szCs w:val="20"/>
    </w:rPr>
  </w:style>
  <w:style w:type="paragraph" w:customStyle="1" w:styleId="54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54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50">
    <w:name w:val="样式 样式2 + 左侧:  1 字符 右侧:  1 字符"/>
    <w:basedOn w:val="48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51">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55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54">
    <w:name w:val="Char Char Char Char Char Char Char Char Char Char1"/>
    <w:basedOn w:val="1"/>
    <w:qFormat/>
    <w:uiPriority w:val="0"/>
    <w:rPr>
      <w:rFonts w:ascii="仿宋_GB2312" w:eastAsia="仿宋_GB2312"/>
      <w:b/>
      <w:sz w:val="32"/>
      <w:szCs w:val="32"/>
    </w:rPr>
  </w:style>
  <w:style w:type="paragraph" w:customStyle="1" w:styleId="555">
    <w:name w:val="注释"/>
    <w:basedOn w:val="1"/>
    <w:qFormat/>
    <w:uiPriority w:val="0"/>
    <w:pPr>
      <w:adjustRightInd/>
      <w:spacing w:line="360" w:lineRule="auto"/>
      <w:ind w:firstLine="480"/>
    </w:pPr>
    <w:rPr>
      <w:sz w:val="24"/>
    </w:rPr>
  </w:style>
  <w:style w:type="paragraph" w:customStyle="1" w:styleId="55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5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正文 首行缩进:  2 字符 Char"/>
    <w:basedOn w:val="1"/>
    <w:qFormat/>
    <w:uiPriority w:val="0"/>
    <w:pPr>
      <w:adjustRightInd/>
      <w:spacing w:line="360" w:lineRule="auto"/>
      <w:ind w:firstLine="480"/>
    </w:pPr>
    <w:rPr>
      <w:rFonts w:cs="宋体"/>
      <w:sz w:val="24"/>
      <w:szCs w:val="20"/>
    </w:rPr>
  </w:style>
  <w:style w:type="paragraph" w:customStyle="1" w:styleId="56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6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62">
    <w:name w:val="标题4_自定义"/>
    <w:basedOn w:val="7"/>
    <w:qFormat/>
    <w:uiPriority w:val="0"/>
    <w:pPr>
      <w:numPr>
        <w:numId w:val="0"/>
      </w:numPr>
      <w:adjustRightInd/>
      <w:spacing w:before="0" w:after="0" w:line="360" w:lineRule="auto"/>
    </w:pPr>
    <w:rPr>
      <w:rFonts w:ascii="Verdana" w:eastAsia="Verdana"/>
      <w:sz w:val="21"/>
      <w:lang w:val="en-US"/>
    </w:rPr>
  </w:style>
  <w:style w:type="paragraph" w:customStyle="1" w:styleId="563">
    <w:name w:val="样式7"/>
    <w:basedOn w:val="371"/>
    <w:next w:val="1"/>
    <w:qFormat/>
    <w:uiPriority w:val="0"/>
    <w:pPr>
      <w:spacing w:afterLines="50"/>
      <w:jc w:val="left"/>
      <w:outlineLvl w:val="3"/>
    </w:pPr>
    <w:rPr>
      <w:sz w:val="24"/>
      <w:szCs w:val="24"/>
    </w:rPr>
  </w:style>
  <w:style w:type="paragraph" w:customStyle="1" w:styleId="56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65">
    <w:name w:val="单元格左对齐"/>
    <w:basedOn w:val="1"/>
    <w:qFormat/>
    <w:uiPriority w:val="0"/>
    <w:pPr>
      <w:adjustRightInd/>
      <w:spacing w:line="360" w:lineRule="auto"/>
    </w:pPr>
    <w:rPr>
      <w:sz w:val="24"/>
    </w:rPr>
  </w:style>
  <w:style w:type="paragraph" w:customStyle="1" w:styleId="566">
    <w:name w:val="Char Char1 Char Char Char1"/>
    <w:basedOn w:val="1"/>
    <w:qFormat/>
    <w:uiPriority w:val="0"/>
    <w:rPr>
      <w:rFonts w:ascii="仿宋_GB2312" w:eastAsia="仿宋_GB2312"/>
      <w:b/>
      <w:sz w:val="32"/>
      <w:szCs w:val="32"/>
    </w:rPr>
  </w:style>
  <w:style w:type="paragraph" w:customStyle="1" w:styleId="56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68">
    <w:name w:val="样式 标题 1章节第一层h1H"/>
    <w:basedOn w:val="4"/>
    <w:qFormat/>
    <w:uiPriority w:val="0"/>
    <w:pPr>
      <w:tabs>
        <w:tab w:val="left" w:pos="432"/>
      </w:tabs>
      <w:autoSpaceDE w:val="0"/>
      <w:autoSpaceDN w:val="0"/>
      <w:spacing w:line="240" w:lineRule="auto"/>
      <w:jc w:val="left"/>
      <w:outlineLvl w:val="9"/>
    </w:pPr>
    <w:rPr>
      <w:kern w:val="0"/>
      <w:sz w:val="52"/>
      <w:szCs w:val="52"/>
      <w:lang w:val="zh-CN"/>
    </w:rPr>
  </w:style>
  <w:style w:type="paragraph" w:customStyle="1" w:styleId="569">
    <w:name w:val="正文文字表格居中"/>
    <w:basedOn w:val="1"/>
    <w:next w:val="55"/>
    <w:qFormat/>
    <w:uiPriority w:val="0"/>
    <w:pPr>
      <w:snapToGrid w:val="0"/>
      <w:spacing w:line="360" w:lineRule="auto"/>
    </w:pPr>
    <w:rPr>
      <w:rFonts w:ascii="宋体"/>
      <w:b/>
      <w:sz w:val="24"/>
      <w:szCs w:val="20"/>
    </w:rPr>
  </w:style>
  <w:style w:type="paragraph" w:customStyle="1" w:styleId="57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57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57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573">
    <w:name w:val="Thf"/>
    <w:basedOn w:val="514"/>
    <w:qFormat/>
    <w:uiPriority w:val="0"/>
    <w:pPr>
      <w:ind w:left="0"/>
    </w:pPr>
  </w:style>
  <w:style w:type="paragraph" w:customStyle="1" w:styleId="57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7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76">
    <w:name w:val="Char19"/>
    <w:basedOn w:val="1"/>
    <w:qFormat/>
    <w:uiPriority w:val="0"/>
    <w:pPr>
      <w:adjustRightInd/>
    </w:pPr>
    <w:rPr>
      <w:szCs w:val="20"/>
    </w:rPr>
  </w:style>
  <w:style w:type="paragraph" w:customStyle="1" w:styleId="57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578">
    <w:name w:val="样式3"/>
    <w:basedOn w:val="487"/>
    <w:qFormat/>
    <w:uiPriority w:val="0"/>
    <w:pPr>
      <w:spacing w:beforeLines="100"/>
      <w:jc w:val="left"/>
    </w:pPr>
  </w:style>
  <w:style w:type="paragraph" w:customStyle="1" w:styleId="579">
    <w:name w:val="首行缩进"/>
    <w:basedOn w:val="1"/>
    <w:qFormat/>
    <w:uiPriority w:val="0"/>
    <w:pPr>
      <w:spacing w:line="360" w:lineRule="auto"/>
      <w:ind w:firstLine="480" w:firstLineChars="200"/>
    </w:pPr>
    <w:rPr>
      <w:rFonts w:ascii="宋体"/>
      <w:sz w:val="24"/>
      <w:szCs w:val="20"/>
    </w:rPr>
  </w:style>
  <w:style w:type="paragraph" w:customStyle="1" w:styleId="58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8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82">
    <w:name w:val="样式 标题 4PIM 4H4h4bulletblbbH41H42H43H44H45H46H47H48...1"/>
    <w:basedOn w:val="7"/>
    <w:qFormat/>
    <w:uiPriority w:val="0"/>
    <w:pPr>
      <w:widowControl/>
      <w:jc w:val="left"/>
    </w:pPr>
    <w:rPr>
      <w:rFonts w:cs="宋体"/>
      <w:sz w:val="24"/>
      <w:szCs w:val="20"/>
    </w:rPr>
  </w:style>
  <w:style w:type="paragraph" w:customStyle="1" w:styleId="58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584">
    <w:name w:val="样式 正文缩进 + 首行缩进:  2 字符"/>
    <w:basedOn w:val="18"/>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58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86">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58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88">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9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9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9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93">
    <w:name w:val="p0"/>
    <w:basedOn w:val="1"/>
    <w:qFormat/>
    <w:uiPriority w:val="0"/>
    <w:pPr>
      <w:widowControl/>
      <w:adjustRightInd/>
    </w:pPr>
    <w:rPr>
      <w:kern w:val="0"/>
      <w:szCs w:val="21"/>
    </w:rPr>
  </w:style>
  <w:style w:type="paragraph" w:customStyle="1" w:styleId="594">
    <w:name w:val="修订1"/>
    <w:qFormat/>
    <w:uiPriority w:val="0"/>
    <w:rPr>
      <w:rFonts w:ascii="Times New Roman" w:hAnsi="Times New Roman" w:eastAsia="宋体" w:cs="Times New Roman"/>
      <w:kern w:val="2"/>
      <w:sz w:val="21"/>
      <w:lang w:val="en-US" w:eastAsia="zh-CN" w:bidi="ar-SA"/>
    </w:rPr>
  </w:style>
  <w:style w:type="paragraph" w:customStyle="1" w:styleId="595">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596">
    <w:name w:val="表格文字"/>
    <w:basedOn w:val="1"/>
    <w:next w:val="18"/>
    <w:qFormat/>
    <w:uiPriority w:val="0"/>
    <w:pPr>
      <w:adjustRightInd/>
      <w:ind w:firstLine="200" w:firstLineChars="200"/>
    </w:pPr>
    <w:rPr>
      <w:rFonts w:ascii="Arial" w:hAnsi="Arial"/>
      <w:spacing w:val="-5"/>
      <w:kern w:val="0"/>
      <w:sz w:val="24"/>
      <w:szCs w:val="20"/>
    </w:rPr>
  </w:style>
  <w:style w:type="paragraph" w:customStyle="1" w:styleId="59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98">
    <w:name w:val="Char Char13"/>
    <w:basedOn w:val="1"/>
    <w:qFormat/>
    <w:uiPriority w:val="0"/>
    <w:pPr>
      <w:widowControl/>
      <w:spacing w:after="160" w:line="240" w:lineRule="exact"/>
      <w:jc w:val="left"/>
    </w:pPr>
    <w:rPr>
      <w:rFonts w:eastAsia="仿宋_GB2312"/>
      <w:sz w:val="28"/>
    </w:rPr>
  </w:style>
  <w:style w:type="paragraph" w:customStyle="1" w:styleId="59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0">
    <w:name w:val="FA正文"/>
    <w:basedOn w:val="1"/>
    <w:qFormat/>
    <w:uiPriority w:val="0"/>
    <w:pPr>
      <w:spacing w:line="360" w:lineRule="auto"/>
      <w:ind w:firstLine="480" w:firstLineChars="200"/>
    </w:pPr>
    <w:rPr>
      <w:rFonts w:hAnsi="宋体"/>
      <w:sz w:val="24"/>
      <w:szCs w:val="20"/>
    </w:rPr>
  </w:style>
  <w:style w:type="paragraph" w:customStyle="1" w:styleId="601">
    <w:name w:val="CM14"/>
    <w:basedOn w:val="423"/>
    <w:next w:val="423"/>
    <w:qFormat/>
    <w:uiPriority w:val="0"/>
    <w:pPr>
      <w:spacing w:after="68"/>
    </w:pPr>
    <w:rPr>
      <w:rFonts w:ascii="FHLHE E+ Futura Bk" w:eastAsia="FHLHE E+ Futura Bk" w:cs="Times New Roman"/>
      <w:color w:val="auto"/>
    </w:rPr>
  </w:style>
  <w:style w:type="paragraph" w:customStyle="1" w:styleId="602">
    <w:name w:val="Char Char Char Char2"/>
    <w:basedOn w:val="1"/>
    <w:qFormat/>
    <w:uiPriority w:val="0"/>
    <w:rPr>
      <w:rFonts w:ascii="Tahoma" w:hAnsi="Tahoma"/>
      <w:sz w:val="24"/>
      <w:szCs w:val="20"/>
    </w:rPr>
  </w:style>
  <w:style w:type="paragraph" w:customStyle="1" w:styleId="603">
    <w:name w:val="Char11"/>
    <w:basedOn w:val="1"/>
    <w:qFormat/>
    <w:uiPriority w:val="0"/>
    <w:pPr>
      <w:tabs>
        <w:tab w:val="left" w:pos="432"/>
      </w:tabs>
      <w:adjustRightInd/>
      <w:spacing w:beforeLines="50" w:afterLines="50"/>
      <w:ind w:left="432" w:hanging="432" w:firstLineChars="200"/>
    </w:pPr>
    <w:rPr>
      <w:sz w:val="24"/>
    </w:rPr>
  </w:style>
  <w:style w:type="paragraph" w:customStyle="1" w:styleId="604">
    <w:name w:val="样式1 + (中宋体"/>
    <w:basedOn w:val="48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0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60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07">
    <w:name w:val="带编号样式"/>
    <w:basedOn w:val="282"/>
    <w:qFormat/>
    <w:uiPriority w:val="0"/>
    <w:pPr>
      <w:tabs>
        <w:tab w:val="left" w:pos="840"/>
      </w:tabs>
      <w:snapToGrid w:val="0"/>
      <w:ind w:left="840" w:hanging="420" w:firstLineChars="0"/>
    </w:pPr>
    <w:rPr>
      <w:rFonts w:ascii="仿宋_GB2312" w:eastAsia="仿宋_GB2312"/>
      <w:color w:val="000000"/>
    </w:rPr>
  </w:style>
  <w:style w:type="paragraph" w:customStyle="1" w:styleId="60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09">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10">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11">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1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13">
    <w:name w:val="Char1 Char Char Char5"/>
    <w:basedOn w:val="1"/>
    <w:qFormat/>
    <w:uiPriority w:val="0"/>
    <w:pPr>
      <w:adjustRightInd/>
      <w:ind w:firstLine="200" w:firstLineChars="200"/>
    </w:pPr>
    <w:rPr>
      <w:rFonts w:ascii="Tahoma" w:hAnsi="Tahoma"/>
      <w:sz w:val="24"/>
      <w:szCs w:val="20"/>
    </w:rPr>
  </w:style>
  <w:style w:type="paragraph" w:customStyle="1" w:styleId="61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8">
    <w:name w:val="纯文本_0_0"/>
    <w:basedOn w:val="617"/>
    <w:link w:val="619"/>
    <w:qFormat/>
    <w:uiPriority w:val="0"/>
    <w:rPr>
      <w:rFonts w:ascii="宋体" w:hAnsi="Courier New"/>
      <w:szCs w:val="21"/>
    </w:rPr>
  </w:style>
  <w:style w:type="character" w:customStyle="1" w:styleId="619">
    <w:name w:val="纯文本 Char_0"/>
    <w:link w:val="618"/>
    <w:qFormat/>
    <w:uiPriority w:val="0"/>
    <w:rPr>
      <w:rFonts w:ascii="宋体" w:hAnsi="Courier New"/>
      <w:kern w:val="2"/>
      <w:sz w:val="21"/>
      <w:szCs w:val="21"/>
      <w:lang w:val="en-US" w:eastAsia="zh-CN"/>
    </w:rPr>
  </w:style>
  <w:style w:type="character" w:customStyle="1" w:styleId="620">
    <w:name w:val="纯文本 Char1"/>
    <w:link w:val="621"/>
    <w:qFormat/>
    <w:uiPriority w:val="0"/>
    <w:rPr>
      <w:rFonts w:ascii="宋体" w:hAnsi="Courier New"/>
    </w:rPr>
  </w:style>
  <w:style w:type="paragraph" w:customStyle="1" w:styleId="621">
    <w:name w:val="纯文本1"/>
    <w:basedOn w:val="1"/>
    <w:link w:val="620"/>
    <w:qFormat/>
    <w:uiPriority w:val="0"/>
    <w:pPr>
      <w:adjustRightInd/>
    </w:pPr>
    <w:rPr>
      <w:rFonts w:ascii="宋体" w:hAnsi="Courier New"/>
      <w:kern w:val="0"/>
      <w:sz w:val="20"/>
      <w:szCs w:val="20"/>
    </w:rPr>
  </w:style>
  <w:style w:type="paragraph" w:customStyle="1" w:styleId="622">
    <w:name w:val="索引 11"/>
    <w:basedOn w:val="1"/>
    <w:next w:val="1"/>
    <w:qFormat/>
    <w:uiPriority w:val="99"/>
    <w:pPr>
      <w:adjustRightInd/>
      <w:spacing w:line="360" w:lineRule="auto"/>
    </w:pPr>
    <w:rPr>
      <w:rFonts w:ascii="仿宋_GB2312" w:eastAsia="仿宋_GB2312"/>
      <w:sz w:val="24"/>
      <w:szCs w:val="20"/>
    </w:rPr>
  </w:style>
  <w:style w:type="character" w:customStyle="1" w:styleId="623">
    <w:name w:val="正文缩进 字符"/>
    <w:qFormat/>
    <w:uiPriority w:val="0"/>
    <w:rPr>
      <w:rFonts w:ascii="宋体" w:eastAsia="宋体"/>
      <w:snapToGrid w:val="0"/>
      <w:color w:val="000000"/>
      <w:kern w:val="28"/>
      <w:sz w:val="28"/>
      <w:lang w:val="en-US" w:eastAsia="zh-CN" w:bidi="ar-SA"/>
    </w:rPr>
  </w:style>
  <w:style w:type="character" w:customStyle="1" w:styleId="624">
    <w:name w:val="纯文本 字符"/>
    <w:qFormat/>
    <w:uiPriority w:val="0"/>
    <w:rPr>
      <w:rFonts w:ascii="宋体" w:hAnsi="Courier New" w:eastAsia="宋体" w:cs="Arial"/>
      <w:snapToGrid w:val="0"/>
      <w:kern w:val="2"/>
      <w:sz w:val="21"/>
      <w:szCs w:val="21"/>
      <w:lang w:val="en-US" w:eastAsia="zh-CN" w:bidi="ar-SA"/>
    </w:rPr>
  </w:style>
  <w:style w:type="character" w:customStyle="1" w:styleId="625">
    <w:name w:val="正文文本缩进 字符"/>
    <w:qFormat/>
    <w:uiPriority w:val="0"/>
    <w:rPr>
      <w:rFonts w:ascii="宋体" w:hAnsi="宋体"/>
      <w:kern w:val="2"/>
      <w:sz w:val="24"/>
      <w:szCs w:val="24"/>
    </w:rPr>
  </w:style>
  <w:style w:type="character" w:customStyle="1" w:styleId="626">
    <w:name w:val="bookmark-item"/>
    <w:qFormat/>
    <w:uiPriority w:val="0"/>
    <w:rPr>
      <w:rFonts w:ascii="Arial" w:hAnsi="Arial" w:eastAsia="黑体" w:cs="Arial"/>
      <w:snapToGrid/>
      <w:kern w:val="0"/>
      <w:szCs w:val="21"/>
    </w:rPr>
  </w:style>
  <w:style w:type="character" w:customStyle="1" w:styleId="627">
    <w:name w:val="fontstyle01"/>
    <w:qFormat/>
    <w:uiPriority w:val="0"/>
    <w:rPr>
      <w:rFonts w:hint="eastAsia" w:ascii="宋体" w:hAnsi="宋体" w:eastAsia="宋体" w:cs="Arial"/>
      <w:snapToGrid/>
      <w:color w:val="000000"/>
      <w:kern w:val="0"/>
      <w:sz w:val="36"/>
      <w:szCs w:val="36"/>
    </w:rPr>
  </w:style>
  <w:style w:type="character" w:customStyle="1" w:styleId="628">
    <w:name w:val="正文文本缩进 Char3"/>
    <w:qFormat/>
    <w:uiPriority w:val="0"/>
    <w:rPr>
      <w:rFonts w:ascii="宋体" w:hAnsi="宋体"/>
      <w:kern w:val="2"/>
      <w:sz w:val="24"/>
      <w:szCs w:val="24"/>
    </w:rPr>
  </w:style>
  <w:style w:type="paragraph" w:customStyle="1" w:styleId="62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30">
    <w:name w:val="页脚 Char2"/>
    <w:link w:val="39"/>
    <w:qFormat/>
    <w:locked/>
    <w:uiPriority w:val="99"/>
    <w:rPr>
      <w:kern w:val="2"/>
      <w:sz w:val="18"/>
      <w:szCs w:val="18"/>
    </w:rPr>
  </w:style>
  <w:style w:type="character" w:customStyle="1" w:styleId="631">
    <w:name w:val="页眉 Char2"/>
    <w:link w:val="40"/>
    <w:qFormat/>
    <w:uiPriority w:val="99"/>
    <w:rPr>
      <w:kern w:val="2"/>
      <w:sz w:val="18"/>
      <w:szCs w:val="18"/>
    </w:rPr>
  </w:style>
  <w:style w:type="paragraph" w:customStyle="1" w:styleId="632">
    <w:name w:val="封面编号"/>
    <w:basedOn w:val="1"/>
    <w:qFormat/>
    <w:uiPriority w:val="0"/>
    <w:pPr>
      <w:spacing w:line="360" w:lineRule="auto"/>
      <w:jc w:val="center"/>
    </w:pPr>
    <w:rPr>
      <w:rFonts w:ascii="黑体" w:hAnsi="宋体" w:eastAsia="黑体" w:cs="宋体"/>
      <w:b/>
      <w:bCs/>
      <w:sz w:val="38"/>
      <w:szCs w:val="20"/>
    </w:rPr>
  </w:style>
  <w:style w:type="paragraph" w:customStyle="1" w:styleId="633">
    <w:name w:val="Table Paragraph"/>
    <w:basedOn w:val="1"/>
    <w:qFormat/>
    <w:uiPriority w:val="1"/>
    <w:pPr>
      <w:autoSpaceDE w:val="0"/>
      <w:autoSpaceDN w:val="0"/>
      <w:jc w:val="left"/>
    </w:pPr>
    <w:rPr>
      <w:rFonts w:ascii="宋体" w:hAnsi="宋体" w:cs="宋体"/>
      <w:kern w:val="0"/>
      <w:sz w:val="22"/>
      <w:lang w:val="zh-CN" w:bidi="zh-CN"/>
    </w:rPr>
  </w:style>
  <w:style w:type="paragraph" w:customStyle="1" w:styleId="634">
    <w:name w:val="[Normal]"/>
    <w:qFormat/>
    <w:uiPriority w:val="0"/>
    <w:rPr>
      <w:rFonts w:ascii="宋体" w:hAnsi="宋体" w:eastAsia="宋体" w:cs="Times New Roman"/>
      <w:sz w:val="24"/>
      <w:szCs w:val="22"/>
      <w:lang w:val="zh-CN" w:eastAsia="zh-CN" w:bidi="ar-SA"/>
    </w:rPr>
  </w:style>
  <w:style w:type="paragraph" w:customStyle="1" w:styleId="635">
    <w:name w:val="_Style 3"/>
    <w:basedOn w:val="1"/>
    <w:qFormat/>
    <w:uiPriority w:val="0"/>
    <w:pPr>
      <w:adjustRightInd/>
      <w:ind w:firstLine="420" w:firstLineChars="200"/>
    </w:pPr>
    <w:rPr>
      <w:rFonts w:eastAsia="仿宋_GB2312"/>
      <w:sz w:val="28"/>
    </w:rPr>
  </w:style>
  <w:style w:type="paragraph" w:customStyle="1" w:styleId="636">
    <w:name w:val="B"/>
    <w:basedOn w:val="637"/>
    <w:qFormat/>
    <w:uiPriority w:val="0"/>
    <w:pPr>
      <w:tabs>
        <w:tab w:val="center" w:pos="4706"/>
        <w:tab w:val="right" w:pos="9044"/>
      </w:tabs>
      <w:wordWrap/>
      <w:spacing w:line="312" w:lineRule="exact"/>
    </w:pPr>
    <w:rPr>
      <w:rFonts w:ascii="E-F1"/>
      <w:szCs w:val="21"/>
    </w:rPr>
  </w:style>
  <w:style w:type="paragraph" w:customStyle="1" w:styleId="637">
    <w:name w:val="表头"/>
    <w:basedOn w:val="1"/>
    <w:qFormat/>
    <w:uiPriority w:val="0"/>
    <w:pPr>
      <w:wordWrap w:val="0"/>
      <w:topLinePunct/>
      <w:jc w:val="center"/>
    </w:pPr>
    <w:rPr>
      <w:rFonts w:eastAsia="黑体"/>
    </w:rPr>
  </w:style>
  <w:style w:type="paragraph" w:customStyle="1" w:styleId="638">
    <w:name w:val="表文"/>
    <w:basedOn w:val="1"/>
    <w:qFormat/>
    <w:uiPriority w:val="0"/>
    <w:pPr>
      <w:topLinePunct/>
    </w:pPr>
    <w:rPr>
      <w:rFonts w:ascii="仿宋_GB2312" w:hAnsi="仿宋_GB2312" w:eastAsia="仿宋_GB2312"/>
      <w:sz w:val="18"/>
    </w:rPr>
  </w:style>
  <w:style w:type="paragraph" w:customStyle="1" w:styleId="639">
    <w:name w:val="表格内字体字号"/>
    <w:basedOn w:val="1"/>
    <w:qFormat/>
    <w:uiPriority w:val="0"/>
    <w:pPr>
      <w:topLinePunct/>
      <w:snapToGrid w:val="0"/>
      <w:spacing w:beforeLines="20" w:afterLines="20"/>
      <w:ind w:left="30" w:leftChars="30" w:right="30" w:rightChars="30"/>
      <w:jc w:val="center"/>
    </w:pPr>
    <w:rPr>
      <w:sz w:val="18"/>
      <w:szCs w:val="18"/>
    </w:rPr>
  </w:style>
  <w:style w:type="table" w:customStyle="1" w:styleId="64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numbering" Target="numbering.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8C66-B602-42B9-9EDA-A0936F1CECA9}">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53</Pages>
  <Words>22550</Words>
  <Characters>23826</Characters>
  <Lines>223</Lines>
  <Paragraphs>62</Paragraphs>
  <TotalTime>0</TotalTime>
  <ScaleCrop>false</ScaleCrop>
  <LinksUpToDate>false</LinksUpToDate>
  <CharactersWithSpaces>23866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2021-01-18T05:30:00Z</dcterms:created>
  <dc:creator>玥</dc:creator>
  <cp:lastModifiedBy>三月七</cp:lastModifiedBy>
  <cp:lastPrinted>2021-04-01T06:48:00Z</cp:lastPrinted>
  <dcterms:modified xsi:type="dcterms:W3CDTF">2023-03-14T06:09:25Z</dcterms:modified>
  <dc:title>杭州市市民卡扩大发卡工程</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5E6B90A6548949BA8D3E08A9558D1E75</vt:lpwstr>
  </property>
</Properties>
</file>